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ind w:left="0" w:hanging="0"/>
        <w:jc w:val="center"/>
        <w:rPr>
          <w:rFonts w:eastAsia="SimSun"/>
          <w:b/>
          <w:b/>
          <w:sz w:val="28"/>
          <w:szCs w:val="28"/>
        </w:rPr>
      </w:pPr>
      <w:r>
        <w:rPr>
          <w:rFonts w:eastAsia="SimSun"/>
          <w:b/>
          <w:sz w:val="28"/>
          <w:szCs w:val="28"/>
        </w:rPr>
        <w:t>Требования к помещениям, в которых предоставляется</w:t>
      </w:r>
    </w:p>
    <w:p>
      <w:pPr>
        <w:pStyle w:val="ListParagraph"/>
        <w:ind w:left="0" w:hanging="0"/>
        <w:jc w:val="center"/>
        <w:rPr>
          <w:rFonts w:eastAsia="SimSun"/>
          <w:b/>
          <w:b/>
          <w:sz w:val="28"/>
          <w:szCs w:val="28"/>
        </w:rPr>
      </w:pPr>
      <w:r>
        <w:rPr>
          <w:rFonts w:eastAsia="SimSun"/>
          <w:b/>
          <w:sz w:val="28"/>
          <w:szCs w:val="28"/>
        </w:rPr>
        <w:t>муниципальная услуга</w:t>
      </w:r>
    </w:p>
    <w:p>
      <w:pPr>
        <w:pStyle w:val="ListParagraph"/>
        <w:ind w:left="2546" w:hanging="0"/>
        <w:rPr>
          <w:rFonts w:eastAsia="SimSun"/>
          <w:b/>
          <w:b/>
          <w:sz w:val="28"/>
          <w:szCs w:val="28"/>
        </w:rPr>
      </w:pPr>
      <w:r>
        <w:rPr>
          <w:rFonts w:eastAsia="SimSun"/>
          <w:b/>
          <w:sz w:val="28"/>
          <w:szCs w:val="28"/>
        </w:rPr>
      </w:r>
    </w:p>
    <w:p>
      <w:pPr>
        <w:pStyle w:val="ListParagraph"/>
        <w:ind w:left="2546" w:hanging="0"/>
        <w:rPr>
          <w:rFonts w:eastAsia="SimSun"/>
          <w:b/>
          <w:b/>
          <w:sz w:val="28"/>
          <w:szCs w:val="28"/>
        </w:rPr>
      </w:pPr>
      <w:r>
        <w:rPr>
          <w:rFonts w:eastAsia="SimSun"/>
          <w:b/>
          <w:sz w:val="28"/>
          <w:szCs w:val="28"/>
        </w:rPr>
      </w:r>
    </w:p>
    <w:p>
      <w:pPr>
        <w:pStyle w:val="Style16"/>
        <w:spacing w:lineRule="auto" w:line="360" w:before="12" w:after="0"/>
        <w:ind w:firstLine="709"/>
        <w:jc w:val="both"/>
        <w:rPr>
          <w:color w:val="0A0A0A"/>
          <w:sz w:val="28"/>
          <w:szCs w:val="28"/>
        </w:rPr>
      </w:pPr>
      <w:r>
        <w:rPr>
          <w:color w:val="0A0A0A"/>
          <w:sz w:val="28"/>
          <w:szCs w:val="28"/>
        </w:rPr>
        <w:t>1. Предоставление муниципальной услуги осуществляется в зданиях и помещениях, оборудованных противопожарной системой и системой пожаротушения.</w:t>
      </w:r>
    </w:p>
    <w:p>
      <w:pPr>
        <w:pStyle w:val="Style16"/>
        <w:spacing w:lineRule="auto" w:line="360" w:before="12" w:after="0"/>
        <w:ind w:firstLine="709"/>
        <w:jc w:val="both"/>
        <w:rPr>
          <w:sz w:val="28"/>
          <w:szCs w:val="28"/>
        </w:rPr>
      </w:pPr>
      <w:r>
        <w:rPr>
          <w:color w:val="0A0A0A"/>
          <w:sz w:val="28"/>
          <w:szCs w:val="28"/>
        </w:rPr>
        <w:t>Места приема заявителей оборудуются необходимой мебелью для оформления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документов,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информационными стендами.</w:t>
      </w:r>
    </w:p>
    <w:p>
      <w:pPr>
        <w:pStyle w:val="Style16"/>
        <w:spacing w:lineRule="auto" w:line="360"/>
        <w:ind w:firstLine="709"/>
        <w:jc w:val="both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>Обеспечивается беспрепятственный доступ инвалидов к месту предоставления муниципальной</w:t>
      </w:r>
      <w:r>
        <w:rPr>
          <w:color w:val="0A0A0A"/>
          <w:spacing w:val="32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услуги.</w:t>
      </w:r>
    </w:p>
    <w:p>
      <w:pPr>
        <w:pStyle w:val="Style16"/>
        <w:spacing w:lineRule="auto" w:line="360"/>
        <w:ind w:firstLine="709"/>
        <w:jc w:val="both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>Визуальная, текстовая информация о порядке предоставления муниципальной услуги размещается в удобных для заявителей местах, в том числе с учетом ограниченных возможностей инвалидов.</w:t>
      </w:r>
    </w:p>
    <w:p>
      <w:pPr>
        <w:pStyle w:val="Normal"/>
        <w:tabs>
          <w:tab w:val="clear" w:pos="708"/>
          <w:tab w:val="left" w:pos="0" w:leader="none"/>
        </w:tabs>
        <w:spacing w:lineRule="auto" w:line="360"/>
        <w:ind w:firstLine="709"/>
        <w:rPr>
          <w:rFonts w:ascii="Times New Roman" w:hAnsi="Times New Roman" w:eastAsia="Times New Roman" w:cs="Times New Roman"/>
          <w:color w:val="0A0A0A"/>
          <w:sz w:val="28"/>
          <w:szCs w:val="28"/>
        </w:rPr>
      </w:pP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2. В соответствии</w:t>
      </w:r>
      <w:r>
        <w:rPr>
          <w:rFonts w:eastAsia="Times New Roman" w:cs="Times New Roman" w:ascii="Times New Roman" w:hAnsi="Times New Roman"/>
          <w:color w:val="0A0A0A"/>
          <w:sz w:val="28"/>
          <w:szCs w:val="28"/>
        </w:rPr>
        <w:t xml:space="preserve"> с законодательством Российской Федерации о социальной защите инвалидов в целях беспрепятственного доступа к месту предоставления муниципальной услуги обеспечивается: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sz w:val="28"/>
          <w:szCs w:val="28"/>
        </w:rPr>
        <w:t>сопровождение инвалидов, имеющих стойкие расстройства функции зрения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и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самостоятельного передвижения,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и оказание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им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помощи;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>возможность посадки в</w:t>
      </w:r>
      <w:r>
        <w:rPr>
          <w:color w:val="0A0A0A"/>
          <w:spacing w:val="-13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транспортное средство и</w:t>
      </w:r>
      <w:r>
        <w:rPr>
          <w:color w:val="0A0A0A"/>
          <w:spacing w:val="-10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высадки из</w:t>
      </w:r>
      <w:r>
        <w:rPr>
          <w:color w:val="0A0A0A"/>
          <w:spacing w:val="-6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него,</w:t>
      </w:r>
      <w:r>
        <w:rPr>
          <w:color w:val="0A0A0A"/>
          <w:spacing w:val="-5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в</w:t>
      </w:r>
      <w:r>
        <w:rPr>
          <w:color w:val="0A0A0A"/>
          <w:spacing w:val="-13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том числе с использованием кресла-коляски;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 xml:space="preserve">надлежащее размещение оборудования и носителей информации, </w:t>
      </w:r>
      <w:r>
        <w:rPr>
          <w:color w:val="0A0A0A"/>
          <w:sz w:val="28"/>
          <w:szCs w:val="28"/>
        </w:rPr>
        <w:t>необходимых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для обеспечения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беспрепятственного доступа инвалидов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 xml:space="preserve">к услугам </w:t>
      </w:r>
      <w:r>
        <w:rPr>
          <w:color w:val="0A0A0A"/>
          <w:w w:val="105"/>
          <w:sz w:val="28"/>
          <w:szCs w:val="28"/>
        </w:rPr>
        <w:t>с учетом ограничений их жизнедеятельности;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</w:t>
      </w:r>
      <w:r>
        <w:rPr>
          <w:color w:val="0A0A0A"/>
          <w:spacing w:val="-12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шрифтом</w:t>
      </w:r>
      <w:r>
        <w:rPr>
          <w:color w:val="0A0A0A"/>
          <w:spacing w:val="-1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Брайля;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допуск</w:t>
      </w:r>
      <w:r>
        <w:rPr>
          <w:color w:val="0A0A0A"/>
          <w:spacing w:val="8"/>
          <w:w w:val="105"/>
          <w:sz w:val="28"/>
          <w:szCs w:val="28"/>
        </w:rPr>
        <w:t xml:space="preserve"> </w:t>
      </w:r>
      <w:r>
        <w:rPr>
          <w:color w:val="0A0A0A"/>
          <w:spacing w:val="-2"/>
          <w:w w:val="105"/>
          <w:sz w:val="28"/>
          <w:szCs w:val="28"/>
        </w:rPr>
        <w:t>сурдопереводчика</w:t>
      </w:r>
      <w:r>
        <w:rPr>
          <w:color w:val="0A0A0A"/>
          <w:spacing w:val="-8"/>
          <w:w w:val="105"/>
          <w:sz w:val="28"/>
          <w:szCs w:val="28"/>
        </w:rPr>
        <w:t xml:space="preserve"> </w:t>
      </w:r>
      <w:r>
        <w:rPr>
          <w:color w:val="0A0A0A"/>
          <w:spacing w:val="-2"/>
          <w:w w:val="105"/>
          <w:sz w:val="28"/>
          <w:szCs w:val="28"/>
        </w:rPr>
        <w:t>и</w:t>
      </w:r>
      <w:r>
        <w:rPr>
          <w:color w:val="0A0A0A"/>
          <w:spacing w:val="-8"/>
          <w:w w:val="105"/>
          <w:sz w:val="28"/>
          <w:szCs w:val="28"/>
        </w:rPr>
        <w:t xml:space="preserve"> </w:t>
      </w:r>
      <w:r>
        <w:rPr>
          <w:color w:val="0A0A0A"/>
          <w:spacing w:val="-2"/>
          <w:w w:val="105"/>
          <w:sz w:val="28"/>
          <w:szCs w:val="28"/>
        </w:rPr>
        <w:t>тифлосурдопереводчика;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допуск</w:t>
      </w:r>
      <w:r>
        <w:rPr>
          <w:color w:val="0A0A0A"/>
          <w:spacing w:val="-7"/>
          <w:w w:val="105"/>
          <w:sz w:val="28"/>
          <w:szCs w:val="28"/>
        </w:rPr>
        <w:t xml:space="preserve"> </w:t>
      </w:r>
      <w:r>
        <w:rPr>
          <w:color w:val="0A0A0A"/>
          <w:spacing w:val="-2"/>
          <w:w w:val="105"/>
          <w:sz w:val="28"/>
          <w:szCs w:val="28"/>
        </w:rPr>
        <w:t>собаки-проводника</w:t>
      </w:r>
      <w:r>
        <w:rPr>
          <w:color w:val="0A0A0A"/>
          <w:spacing w:val="-15"/>
          <w:w w:val="105"/>
          <w:sz w:val="28"/>
          <w:szCs w:val="28"/>
        </w:rPr>
        <w:t xml:space="preserve"> </w:t>
      </w:r>
      <w:r>
        <w:rPr>
          <w:color w:val="0A0A0A"/>
          <w:spacing w:val="-2"/>
          <w:w w:val="105"/>
          <w:sz w:val="28"/>
          <w:szCs w:val="28"/>
        </w:rPr>
        <w:t>при</w:t>
      </w:r>
      <w:r>
        <w:rPr>
          <w:color w:val="0A0A0A"/>
          <w:spacing w:val="-16"/>
          <w:w w:val="105"/>
          <w:sz w:val="28"/>
          <w:szCs w:val="28"/>
        </w:rPr>
        <w:t xml:space="preserve"> </w:t>
      </w:r>
      <w:r>
        <w:rPr>
          <w:color w:val="0A0A0A"/>
          <w:spacing w:val="-2"/>
          <w:w w:val="105"/>
          <w:sz w:val="28"/>
          <w:szCs w:val="28"/>
        </w:rPr>
        <w:t>наличии документа, подтверждающего</w:t>
      </w:r>
      <w:r>
        <w:rPr>
          <w:color w:val="0A0A0A"/>
          <w:spacing w:val="-16"/>
          <w:w w:val="105"/>
          <w:sz w:val="28"/>
          <w:szCs w:val="28"/>
        </w:rPr>
        <w:t xml:space="preserve"> </w:t>
      </w:r>
      <w:r>
        <w:rPr>
          <w:color w:val="0A0A0A"/>
          <w:spacing w:val="-2"/>
          <w:w w:val="105"/>
          <w:sz w:val="28"/>
          <w:szCs w:val="28"/>
        </w:rPr>
        <w:t xml:space="preserve">ее </w:t>
      </w:r>
      <w:r>
        <w:rPr>
          <w:color w:val="0A0A0A"/>
          <w:w w:val="105"/>
          <w:sz w:val="28"/>
          <w:szCs w:val="28"/>
        </w:rPr>
        <w:t xml:space="preserve">специальное обучение и выдаваемого по форме и в порядке, которые установлены приказом Министерства труда и социальной защиты Российской Федерации от 22.06.2015 № 386н «Об утверждении формы документа, подтверждающего специальное обучение собаки-проводника, и порядка его </w:t>
      </w:r>
      <w:r>
        <w:rPr>
          <w:color w:val="0A0A0A"/>
          <w:spacing w:val="-2"/>
          <w:w w:val="105"/>
          <w:sz w:val="28"/>
          <w:szCs w:val="28"/>
        </w:rPr>
        <w:t>выдачи».</w:t>
      </w:r>
    </w:p>
    <w:p>
      <w:pPr>
        <w:pStyle w:val="Style16"/>
        <w:spacing w:lineRule="auto" w:line="360" w:before="1" w:after="0"/>
        <w:ind w:firstLine="709"/>
        <w:jc w:val="both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>Требования в части обеспечения доступности для инвалидов объектов, в которых осуществляется</w:t>
      </w:r>
      <w:r>
        <w:rPr>
          <w:color w:val="0A0A0A"/>
          <w:spacing w:val="-2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предоставление муниципальной услуги, и средств, используемых при предоставлении муниципальной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услуги,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которые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указаны</w:t>
      </w:r>
      <w:r>
        <w:rPr>
          <w:color w:val="0A0A0A"/>
          <w:spacing w:val="-15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в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подпунктах</w:t>
      </w:r>
      <w:r>
        <w:rPr>
          <w:color w:val="0A0A0A"/>
          <w:spacing w:val="-7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1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-</w:t>
      </w:r>
      <w:r>
        <w:rPr>
          <w:color w:val="0A0A0A"/>
          <w:spacing w:val="14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4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настоящего</w:t>
      </w:r>
      <w:r>
        <w:rPr>
          <w:color w:val="0A0A0A"/>
          <w:spacing w:val="-5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пункта, применяются к объектам и средствам, введенным в эксплуатацию или прошедшим модернизацию, реконструкцию после 1</w:t>
      </w:r>
      <w:r>
        <w:rPr>
          <w:color w:val="0A0A0A"/>
          <w:spacing w:val="-9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июля</w:t>
      </w:r>
      <w:r>
        <w:rPr>
          <w:color w:val="0A0A0A"/>
          <w:spacing w:val="-4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2016</w:t>
      </w:r>
      <w:r>
        <w:rPr>
          <w:color w:val="0A0A0A"/>
          <w:spacing w:val="-3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года.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119" w:hanging="388"/>
      </w:pPr>
      <w:rPr>
        <w:sz w:val="27"/>
        <w:i w:val="false"/>
        <w:b w:val="false"/>
        <w:szCs w:val="27"/>
        <w:iCs w:val="false"/>
        <w:bCs w:val="false"/>
        <w:w w:val="106"/>
        <w:rFonts w:ascii="Times New Roman" w:hAnsi="Times New Roman" w:eastAsia="Times New Roman" w:cs="Times New Roman"/>
        <w:color w:val="0A0A0A"/>
        <w:lang w:val="ru-RU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00" w:hanging="388"/>
      </w:pPr>
      <w:rPr>
        <w:rFonts w:ascii="Symbol" w:hAnsi="Symbol" w:cs="Symbol" w:hint="default"/>
        <w:lang w:val="ru-RU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081" w:hanging="388"/>
      </w:pPr>
      <w:rPr>
        <w:rFonts w:ascii="Symbol" w:hAnsi="Symbol" w:cs="Symbol" w:hint="default"/>
        <w:lang w:val="ru-RU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061" w:hanging="388"/>
      </w:pPr>
      <w:rPr>
        <w:rFonts w:ascii="Symbol" w:hAnsi="Symbol" w:cs="Symbol" w:hint="default"/>
        <w:lang w:val="ru-RU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42" w:hanging="388"/>
      </w:pPr>
      <w:rPr>
        <w:rFonts w:ascii="Symbol" w:hAnsi="Symbol" w:cs="Symbol" w:hint="default"/>
        <w:lang w:val="ru-RU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023" w:hanging="388"/>
      </w:pPr>
      <w:rPr>
        <w:rFonts w:ascii="Symbol" w:hAnsi="Symbol" w:cs="Symbol" w:hint="default"/>
        <w:lang w:val="ru-RU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003" w:hanging="388"/>
      </w:pPr>
      <w:rPr>
        <w:rFonts w:ascii="Symbol" w:hAnsi="Symbol" w:cs="Symbol" w:hint="default"/>
        <w:lang w:val="ru-RU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984" w:hanging="388"/>
      </w:pPr>
      <w:rPr>
        <w:rFonts w:ascii="Symbol" w:hAnsi="Symbol" w:cs="Symbol" w:hint="default"/>
        <w:lang w:val="ru-RU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965" w:hanging="388"/>
      </w:pPr>
      <w:rPr>
        <w:rFonts w:ascii="Symbol" w:hAnsi="Symbol" w:cs="Symbol" w:hint="default"/>
        <w:lang w:val="ru-RU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7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1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60b61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Основной текст Знак"/>
    <w:basedOn w:val="DefaultParagraphFont"/>
    <w:uiPriority w:val="1"/>
    <w:qFormat/>
    <w:rsid w:val="0077656a"/>
    <w:rPr>
      <w:rFonts w:ascii="Times New Roman" w:hAnsi="Times New Roman" w:eastAsia="Times New Roman" w:cs="Times New Roman"/>
      <w:sz w:val="27"/>
      <w:szCs w:val="27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link w:val="Style14"/>
    <w:uiPriority w:val="1"/>
    <w:qFormat/>
    <w:rsid w:val="0077656a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sz w:val="27"/>
      <w:szCs w:val="27"/>
    </w:rPr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ListParagraph">
    <w:name w:val="List Paragraph"/>
    <w:basedOn w:val="Normal"/>
    <w:uiPriority w:val="1"/>
    <w:qFormat/>
    <w:rsid w:val="0077656a"/>
    <w:pPr>
      <w:widowControl w:val="false"/>
      <w:spacing w:lineRule="auto" w:line="240" w:before="0" w:after="0"/>
      <w:ind w:left="121" w:firstLine="572"/>
      <w:jc w:val="both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Application>LibreOffice/7.3.0.3$Windows_x86 LibreOffice_project/0f246aa12d0eee4a0f7adcefbf7c878fc2238db3</Application>
  <AppVersion>15.0000</AppVersion>
  <Pages>2</Pages>
  <Words>256</Words>
  <Characters>1922</Characters>
  <CharactersWithSpaces>2158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2024-07-25T07:16:00Z</dcterms:created>
  <dc:creator>Архитектура 301-1</dc:creator>
  <dc:description/>
  <dc:language>ru-RU</dc:language>
  <cp:lastModifiedBy>Архитектура 301-1</cp:lastModifiedBy>
  <dcterms:modified xsi:type="dcterms:W3CDTF">2024-07-25T09:02:00Z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