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keepNext w:val="true"/>
        <w:numPr>
          <w:ilvl w:val="0"/>
          <w:numId w:val="0"/>
        </w:numPr>
        <w:spacing w:before="240" w:after="60"/>
        <w:ind w:left="5400" w:hanging="5684"/>
        <w:jc w:val="center"/>
        <w:outlineLvl w:val="0"/>
        <w:rPr>
          <w:rFonts w:ascii="Calibri Light" w:hAnsi="Calibri Light" w:cs="Calibri Light"/>
          <w:b/>
          <w:b/>
          <w:bCs/>
          <w:kern w:val="2"/>
          <w:sz w:val="32"/>
          <w:szCs w:val="32"/>
          <w:lang w:val="ru-RU" w:eastAsia="ru-RU"/>
        </w:rPr>
      </w:pPr>
      <w:r>
        <w:rPr/>
        <w:drawing>
          <wp:inline distT="0" distB="0" distL="0" distR="0">
            <wp:extent cx="1058545" cy="8839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545" cy="88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numPr>
          <w:ilvl w:val="0"/>
          <w:numId w:val="0"/>
        </w:numPr>
        <w:suppressAutoHyphens w:val="true"/>
        <w:spacing w:lineRule="auto" w:line="360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suppressAutoHyphens w:val="true"/>
        <w:spacing w:lineRule="auto" w:line="360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СЕЛЬСКОГО ПОСЕЛЕНИЯ  МУСОРКА</w:t>
      </w:r>
    </w:p>
    <w:p>
      <w:pPr>
        <w:pStyle w:val="Normal"/>
        <w:numPr>
          <w:ilvl w:val="0"/>
          <w:numId w:val="0"/>
        </w:numPr>
        <w:suppressAutoHyphens w:val="true"/>
        <w:spacing w:lineRule="auto" w:line="360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МУНИЦИПАЛЬНОГО РАЙОНА СТАВРОПОЛЬСКИЙ</w:t>
      </w:r>
    </w:p>
    <w:p>
      <w:pPr>
        <w:pStyle w:val="Normal"/>
        <w:suppressAutoHyphens w:val="true"/>
        <w:spacing w:lineRule="auto" w:line="360"/>
        <w:jc w:val="center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САМАРСКОЙ ОБЛАСТИ</w:t>
      </w:r>
    </w:p>
    <w:p>
      <w:pPr>
        <w:pStyle w:val="Normal"/>
        <w:rPr>
          <w:rFonts w:eastAsia="Calibri"/>
          <w:b/>
          <w:b/>
          <w:bCs/>
          <w:lang w:eastAsia="zh-CN"/>
        </w:rPr>
      </w:pPr>
      <w:r>
        <w:rPr/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РЕШЕНИЕ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</w:rPr>
        <w:t xml:space="preserve">        </w:t>
      </w:r>
      <w:r>
        <w:rPr>
          <w:bCs/>
          <w:sz w:val="28"/>
          <w:szCs w:val="28"/>
        </w:rPr>
        <w:t xml:space="preserve">от </w:t>
      </w:r>
      <w:r>
        <w:rPr>
          <w:bCs/>
          <w:sz w:val="28"/>
          <w:szCs w:val="28"/>
          <w:lang w:val="en-US"/>
        </w:rPr>
        <w:t>04.</w:t>
      </w:r>
      <w:r>
        <w:rPr>
          <w:bCs/>
          <w:sz w:val="28"/>
          <w:szCs w:val="28"/>
          <w:lang w:val="ru-RU"/>
        </w:rPr>
        <w:t>05.2022 г.</w:t>
      </w:r>
      <w:r>
        <w:rPr/>
        <w:tab/>
        <w:tab/>
      </w:r>
      <w:r>
        <w:rPr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№ 78/2022</w:t>
      </w:r>
      <w:r>
        <w:rPr>
          <w:sz w:val="28"/>
          <w:szCs w:val="28"/>
        </w:rPr>
        <w:t xml:space="preserve">                        </w:t>
      </w:r>
    </w:p>
    <w:p>
      <w:pPr>
        <w:pStyle w:val="Normal"/>
        <w:shd w:val="clear" w:fill="FFFFFF"/>
        <w:jc w:val="center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Style43"/>
        <w:shd w:val="clear" w:fill="FFFFFF"/>
        <w:jc w:val="center"/>
        <w:rPr/>
      </w:pPr>
      <w:r>
        <w:rPr>
          <w:b/>
          <w:color w:val="000000"/>
          <w:sz w:val="28"/>
          <w:szCs w:val="28"/>
        </w:rPr>
        <w:t xml:space="preserve">О внесении изменений в </w:t>
      </w:r>
      <w:r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решение Собрания представителей сельского поселения Мусорка от 23.11.2018 г. № 132  «Об утверждении Норм и Правил  по благоустройству территории сельского поселения Мусорка муниципального района Ставропольский Самарской области в новой редакции»</w:t>
      </w:r>
    </w:p>
    <w:p>
      <w:pPr>
        <w:pStyle w:val="Normal"/>
        <w:shd w:val="clear" w:fill="FFFFFF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Правил благоустройства территории сельского поселения  Мусорка муниципального района Ставропольский Самарской области, утвержденных решением Собрания представителей сельского поселения Мусорка муниципального района Ставропольский Самарской области от 23.11.2018 г. № 132 в соответстви</w:t>
      </w:r>
      <w:r>
        <w:rPr>
          <w:color w:val="000000"/>
          <w:sz w:val="28"/>
          <w:szCs w:val="28"/>
        </w:rPr>
        <w:t>и</w:t>
      </w:r>
      <w:r>
        <w:rPr/>
        <w:t xml:space="preserve">  </w:t>
      </w:r>
      <w:r>
        <w:rPr>
          <w:sz w:val="28"/>
          <w:szCs w:val="28"/>
        </w:rPr>
        <w:t xml:space="preserve">с  Законом Самарской области от 01.11.2007 № 115-ГД «Об административных правонарушениях на территории Самарской области»,  </w:t>
      </w:r>
      <w:r>
        <w:rPr>
          <w:color w:val="000000"/>
          <w:sz w:val="28"/>
          <w:szCs w:val="28"/>
        </w:rPr>
        <w:t xml:space="preserve">руководствуясь </w:t>
      </w:r>
      <w:r>
        <w:rPr>
          <w:sz w:val="28"/>
          <w:szCs w:val="28"/>
        </w:rPr>
        <w:t xml:space="preserve">Федеральным законом от 6 октября 2003 года № 131-ФЗ «Об общих принципах организации местного самоуправления в Российской Федерации», </w:t>
      </w:r>
      <w:r>
        <w:rPr>
          <w:color w:val="000000"/>
          <w:sz w:val="28"/>
          <w:szCs w:val="28"/>
        </w:rPr>
        <w:t>Уставом</w:t>
      </w:r>
      <w:r>
        <w:rPr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 xml:space="preserve">сельского поселения Мусорка муниципального района Ставропольский Самарской области, принятого решением Собрания представителей сельского поселения Мусорка муниципального района Ставропольский Самарской области  от 14.04.2014 г.     № 95, </w:t>
      </w:r>
      <w:r>
        <w:rPr>
          <w:sz w:val="28"/>
          <w:szCs w:val="28"/>
        </w:rPr>
        <w:t xml:space="preserve">Собрание представителей </w:t>
      </w:r>
      <w:r>
        <w:rPr>
          <w:bCs/>
          <w:color w:val="000000"/>
          <w:sz w:val="28"/>
          <w:szCs w:val="28"/>
        </w:rPr>
        <w:t>сельского поселения Мусорка муниципального района Ставропольский Самарской области  решило:</w:t>
      </w:r>
    </w:p>
    <w:p>
      <w:pPr>
        <w:pStyle w:val="Normal"/>
        <w:shd w:val="clear" w:fill="FFFFFF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firstLine="720"/>
        <w:jc w:val="both"/>
        <w:rPr/>
      </w:pPr>
      <w:r>
        <w:rPr>
          <w:sz w:val="28"/>
          <w:szCs w:val="28"/>
        </w:rPr>
        <w:t>1. Внести изменения в решение Собрания представителей сельского поселения Мусорка муниципального района Ставропольский Самарской области от 23.11.2018 г.  № 132 «</w:t>
      </w:r>
      <w:r>
        <w:rPr>
          <w:color w:val="000000"/>
          <w:sz w:val="28"/>
          <w:szCs w:val="28"/>
        </w:rPr>
        <w:t>Об утверждении Норм и Правил  по благоустройству территории сельского поселения Мусорка муниципального района Ставропольский Самарской области в новой редакции</w:t>
      </w:r>
      <w:r>
        <w:rPr>
          <w:sz w:val="28"/>
          <w:szCs w:val="28"/>
        </w:rPr>
        <w:t>», дополнив Главу 4.1.  пунктами 4.1.24., 4.1.25. и 4.1.26. следующего содержания:</w:t>
      </w:r>
    </w:p>
    <w:p>
      <w:pPr>
        <w:pStyle w:val="Normal"/>
        <w:ind w:firstLine="720"/>
        <w:jc w:val="both"/>
        <w:rPr/>
      </w:pPr>
      <w:r>
        <w:rPr>
          <w:sz w:val="28"/>
          <w:szCs w:val="28"/>
        </w:rPr>
        <w:t>«4.1.24. Выпас скота разрешается только в специально отведенных для этого местах. Выпас животных на неогороженных пастбищах осуществляется на привязи или под надзором владельцев животных или лиц, заключивших с владельцами или уполномоченными ими лицами договоры на оказание услуг по выпасу животных (далее – пастух).</w:t>
      </w:r>
    </w:p>
    <w:p>
      <w:pPr>
        <w:pStyle w:val="Normal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Владельцы животных и пастухи обязаны осуществлять постоянный надзор за животными в процессе их выпаса на пастбищах, не допуская их перемещения на участки, не предназначенные для этих целей. Запрещается оставлять животных без надзора, осуществлять выпас на улицах и других, не предназначенных для этих целей местах, допускать потраву цветников и посевов культур. Не допускается передвижение животных без сопровождения владельца или пастуха.</w:t>
      </w:r>
    </w:p>
    <w:p>
      <w:pPr>
        <w:pStyle w:val="Normal"/>
        <w:ind w:firstLine="720"/>
        <w:jc w:val="both"/>
        <w:rPr/>
      </w:pPr>
      <w:r>
        <w:rPr>
          <w:sz w:val="28"/>
          <w:szCs w:val="28"/>
        </w:rPr>
        <w:t>Выпас скота и птицы на территориях улиц в полосе отвода автомобильных и железных дорог, скверов, в рекреационных зонах поселения запрещается.</w:t>
      </w:r>
    </w:p>
    <w:p>
      <w:pPr>
        <w:pStyle w:val="Normal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4.1.25. Места и маршрут прогона скота на пастбища должны быть согласованы с администрацией поселения и при необходимости с соответствующими органами управления дорожного хозяйства.</w:t>
      </w:r>
    </w:p>
    <w:p>
      <w:pPr>
        <w:pStyle w:val="Normal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4.1.26. Нарушениями Правил прогона и выпаса будут расцениваться следующие действия (бездействия):</w:t>
      </w:r>
    </w:p>
    <w:p>
      <w:pPr>
        <w:pStyle w:val="Normal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отклонение от установленного маршрута при прогоне сельскохозяйственных животных;</w:t>
      </w:r>
    </w:p>
    <w:p>
      <w:pPr>
        <w:pStyle w:val="Normal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оставление без присмотра сельскохозяйственных животных при осуществлении прогона и выпаса;</w:t>
      </w:r>
    </w:p>
    <w:p>
      <w:pPr>
        <w:pStyle w:val="Normal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выпас (контролируемый) в пределах жилой зоны сельского поселения;</w:t>
      </w:r>
    </w:p>
    <w:p>
      <w:pPr>
        <w:pStyle w:val="Normal"/>
        <w:ind w:firstLine="720"/>
        <w:jc w:val="both"/>
        <w:rPr/>
      </w:pPr>
      <w:r>
        <w:rPr>
          <w:sz w:val="28"/>
          <w:szCs w:val="28"/>
        </w:rPr>
        <w:t>- выпас сельскохозяйственных животных на землях сельскохозяйственного назначения, не предназначенных под пастбища.».</w:t>
      </w:r>
    </w:p>
    <w:p>
      <w:pPr>
        <w:pStyle w:val="Normal"/>
        <w:shd w:val="clear" w:fill="FFFFFF"/>
        <w:ind w:firstLine="709"/>
        <w:jc w:val="both"/>
        <w:rPr>
          <w:spacing w:val="-11"/>
          <w:sz w:val="28"/>
          <w:szCs w:val="28"/>
        </w:rPr>
      </w:pPr>
      <w:r>
        <w:rPr>
          <w:sz w:val="28"/>
          <w:szCs w:val="28"/>
        </w:rPr>
        <w:t xml:space="preserve">2. Настоящее решение подлежит официальному опубликованию в газете «Вестник сельского поселения» </w:t>
      </w:r>
      <w:r>
        <w:rPr>
          <w:spacing w:val="-3"/>
          <w:sz w:val="28"/>
          <w:szCs w:val="28"/>
        </w:rPr>
        <w:t xml:space="preserve">и </w:t>
      </w:r>
      <w:r>
        <w:rPr>
          <w:sz w:val="28"/>
          <w:szCs w:val="28"/>
        </w:rPr>
        <w:t>на официальном сайте администрации сельского поселения Мусорка в сети интернет</w:t>
      </w:r>
      <w:r>
        <w:rPr>
          <w:rStyle w:val="WW"/>
          <w:color w:val="000000"/>
          <w:sz w:val="28"/>
          <w:szCs w:val="28"/>
          <w:u w:val="none"/>
        </w:rPr>
        <w:t xml:space="preserve">  </w:t>
      </w:r>
      <w:r>
        <w:rPr>
          <w:rStyle w:val="WW"/>
          <w:rFonts w:cs="Times New Roman"/>
          <w:color w:val="000000"/>
          <w:sz w:val="28"/>
          <w:szCs w:val="28"/>
          <w:u w:val="none"/>
          <w:lang w:val="en-US"/>
        </w:rPr>
        <w:t>http</w:t>
      </w:r>
      <w:r>
        <w:rPr>
          <w:rStyle w:val="WW"/>
          <w:rFonts w:cs="Times New Roman"/>
          <w:color w:val="000000"/>
          <w:sz w:val="28"/>
          <w:szCs w:val="28"/>
          <w:u w:val="none"/>
        </w:rPr>
        <w:t>://</w:t>
      </w:r>
      <w:r>
        <w:rPr>
          <w:rStyle w:val="WW"/>
          <w:rFonts w:cs="Times New Roman"/>
          <w:color w:val="000000"/>
          <w:sz w:val="28"/>
          <w:szCs w:val="28"/>
          <w:u w:val="none"/>
          <w:lang w:val="en-US"/>
        </w:rPr>
        <w:t>musorka</w:t>
      </w:r>
      <w:r>
        <w:rPr>
          <w:rStyle w:val="WW"/>
          <w:rFonts w:cs="Times New Roman"/>
          <w:color w:val="000000"/>
          <w:sz w:val="28"/>
          <w:szCs w:val="28"/>
          <w:u w:val="none"/>
        </w:rPr>
        <w:t>.</w:t>
      </w:r>
      <w:r>
        <w:rPr>
          <w:rStyle w:val="WW"/>
          <w:rFonts w:cs="Times New Roman"/>
          <w:color w:val="000000"/>
          <w:sz w:val="28"/>
          <w:szCs w:val="28"/>
          <w:u w:val="none"/>
          <w:lang w:val="en-US"/>
        </w:rPr>
        <w:t>stavrsp</w:t>
      </w:r>
      <w:r>
        <w:rPr>
          <w:rStyle w:val="WW"/>
          <w:rFonts w:cs="Times New Roman"/>
          <w:color w:val="000000"/>
          <w:sz w:val="28"/>
          <w:szCs w:val="28"/>
          <w:u w:val="none"/>
        </w:rPr>
        <w:t>.</w:t>
      </w:r>
      <w:r>
        <w:rPr>
          <w:rStyle w:val="WW"/>
          <w:rFonts w:cs="Times New Roman"/>
          <w:color w:val="000000"/>
          <w:sz w:val="28"/>
          <w:szCs w:val="28"/>
          <w:u w:val="none"/>
          <w:lang w:val="en-US"/>
        </w:rPr>
        <w:t>ru</w:t>
      </w:r>
      <w:r>
        <w:rPr>
          <w:sz w:val="28"/>
          <w:szCs w:val="28"/>
        </w:rPr>
        <w:t xml:space="preserve">. </w:t>
      </w:r>
      <w:r>
        <w:rPr>
          <w:spacing w:val="-11"/>
          <w:sz w:val="28"/>
          <w:szCs w:val="28"/>
        </w:rPr>
        <w:t xml:space="preserve"> </w:t>
      </w:r>
    </w:p>
    <w:p>
      <w:pPr>
        <w:pStyle w:val="Normal"/>
        <w:shd w:val="clear" w:fill="FFFFFF"/>
        <w:ind w:firstLine="709"/>
        <w:jc w:val="both"/>
        <w:rPr/>
      </w:pPr>
      <w:r>
        <w:rPr>
          <w:spacing w:val="-11"/>
          <w:sz w:val="28"/>
          <w:szCs w:val="28"/>
        </w:rPr>
        <w:t xml:space="preserve">3.    </w:t>
      </w:r>
      <w:r>
        <w:rPr>
          <w:sz w:val="28"/>
          <w:szCs w:val="28"/>
        </w:rPr>
        <w:t>Решение вступает в силу со после его официального опубликования</w:t>
      </w:r>
      <w:r>
        <w:rPr/>
        <w:t xml:space="preserve">. </w:t>
      </w:r>
    </w:p>
    <w:tbl>
      <w:tblPr>
        <w:tblW w:w="9997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5"/>
        <w:gridCol w:w="4501"/>
      </w:tblGrid>
      <w:tr>
        <w:trPr/>
        <w:tc>
          <w:tcPr>
            <w:tcW w:w="5495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 xml:space="preserve"> 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Собрания представителей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сельского поселения Мусорка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>
            <w:pPr>
              <w:pStyle w:val="Normal"/>
              <w:widowControl w:val="false"/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Самарской области</w:t>
            </w:r>
          </w:p>
          <w:p>
            <w:pPr>
              <w:pStyle w:val="Normal"/>
              <w:widowControl w:val="false"/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_______________ И.И. Грызлова</w:t>
            </w:r>
          </w:p>
        </w:tc>
        <w:tc>
          <w:tcPr>
            <w:tcW w:w="4501" w:type="dxa"/>
            <w:tcBorders/>
          </w:tcPr>
          <w:p>
            <w:pPr>
              <w:pStyle w:val="Normal"/>
              <w:widowControl w:val="false"/>
              <w:snapToGrid w:val="false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</w:r>
          </w:p>
          <w:p>
            <w:pPr>
              <w:pStyle w:val="Normal"/>
              <w:widowControl w:val="false"/>
              <w:jc w:val="both"/>
              <w:rPr/>
            </w:pPr>
            <w:r>
              <w:rPr>
                <w:color w:val="000000"/>
                <w:sz w:val="28"/>
                <w:szCs w:val="28"/>
              </w:rPr>
              <w:t xml:space="preserve">Глава </w:t>
            </w:r>
            <w:r>
              <w:rPr>
                <w:bCs/>
                <w:color w:val="000000"/>
                <w:sz w:val="28"/>
                <w:szCs w:val="28"/>
              </w:rPr>
              <w:t>сельского поселения Мусорка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_______________ С.Г. Отинов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spacing w:lineRule="exact" w:line="24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exact" w:line="24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/>
        </w:rPr>
      </w:pPr>
      <w:r>
        <w:rPr/>
        <w:t xml:space="preserve">                  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Title"/>
        <w:widowControl/>
        <w:spacing w:lineRule="auto" w:line="360"/>
        <w:jc w:val="both"/>
        <w:rPr>
          <w:rFonts w:ascii="Times New Roman" w:hAnsi="Times New Roman" w:cs="Times New Roman"/>
          <w:b w:val="false"/>
          <w:b w:val="false"/>
          <w:bCs/>
          <w:color w:val="C00000"/>
          <w:sz w:val="28"/>
          <w:szCs w:val="28"/>
        </w:rPr>
      </w:pPr>
      <w:r>
        <w:rPr/>
      </w:r>
    </w:p>
    <w:sectPr>
      <w:headerReference w:type="default" r:id="rId3"/>
      <w:headerReference w:type="first" r:id="rId4"/>
      <w:type w:val="nextPage"/>
      <w:pgSz w:w="11906" w:h="16838"/>
      <w:pgMar w:left="1275" w:right="850" w:gutter="0" w:header="720" w:top="851" w:footer="0" w:bottom="851"/>
      <w:pgNumType w:fmt="decimal"/>
      <w:formProt w:val="false"/>
      <w:titlePg/>
      <w:textDirection w:val="lrTb"/>
      <w:docGrid w:type="default" w:linePitch="381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roman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  <w:font w:name="Liberation Mono">
    <w:altName w:val="Courier New"/>
    <w:charset w:val="cc"/>
    <w:family w:val="roman"/>
    <w:pitch w:val="variable"/>
  </w:font>
  <w:font w:name="Calibri Light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yle38"/>
      <w:rPr/>
    </w:pPr>
    <w:r>
      <w:rPr/>
      <mc:AlternateContent>
        <mc:Choice Requires="wps">
          <w:drawing>
            <wp:anchor behindDoc="0" distT="0" distB="0" distL="0" distR="0" simplePos="0" locked="0" layoutInCell="0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largest"/>
              <wp:docPr id="2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680" cy="175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8"/>
                            <w:rPr>
                              <w:rStyle w:val="Style20"/>
                            </w:rPr>
                          </w:pPr>
                          <w:r>
                            <w:rPr>
                              <w:rStyle w:val="Style20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Style20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Style20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Style20"/>
                              <w:color w:val="000000"/>
                            </w:rPr>
                            <w:t>2</w:t>
                          </w:r>
                          <w:r>
                            <w:rPr>
                              <w:rStyle w:val="Style20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path="m0,0l-2147483645,0l-2147483645,-2147483646l0,-2147483646xe" stroked="f" o:allowincell="f" style="position:absolute;margin-left:241.45pt;margin-top:0.05pt;width:6pt;height:13.75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38"/>
                      <w:rPr>
                        <w:rStyle w:val="Style20"/>
                      </w:rPr>
                    </w:pPr>
                    <w:r>
                      <w:rPr>
                        <w:rStyle w:val="Style20"/>
                        <w:color w:val="000000"/>
                      </w:rPr>
                      <w:fldChar w:fldCharType="begin"/>
                    </w:r>
                    <w:r>
                      <w:rPr>
                        <w:rStyle w:val="Style20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Style20"/>
                        <w:color w:val="000000"/>
                      </w:rPr>
                      <w:fldChar w:fldCharType="separate"/>
                    </w:r>
                    <w:r>
                      <w:rPr>
                        <w:rStyle w:val="Style20"/>
                        <w:color w:val="000000"/>
                      </w:rPr>
                      <w:t>2</w:t>
                    </w:r>
                    <w:r>
                      <w:rPr>
                        <w:rStyle w:val="Style20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yle38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isplayBackgroundShape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zh-CN" w:bidi="ar-SA"/>
    </w:rPr>
  </w:style>
  <w:style w:type="paragraph" w:styleId="3">
    <w:name w:val="Heading 3"/>
    <w:basedOn w:val="12"/>
    <w:next w:val="Style25"/>
    <w:qFormat/>
    <w:pPr>
      <w:numPr>
        <w:ilvl w:val="2"/>
        <w:numId w:val="1"/>
      </w:numPr>
      <w:spacing w:before="140" w:after="120"/>
      <w:outlineLvl w:val="2"/>
    </w:pPr>
    <w:rPr>
      <w:b/>
      <w:bCs/>
      <w:sz w:val="28"/>
      <w:szCs w:val="28"/>
    </w:rPr>
  </w:style>
  <w:style w:type="paragraph" w:styleId="4">
    <w:name w:val="Heading 4"/>
    <w:basedOn w:val="Normal"/>
    <w:next w:val="Normal"/>
    <w:qFormat/>
    <w:pPr>
      <w:keepNext w:val="true"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5">
    <w:name w:val="Heading 5"/>
    <w:basedOn w:val="Normal"/>
    <w:next w:val="6"/>
    <w:qFormat/>
    <w:pPr>
      <w:numPr>
        <w:ilvl w:val="4"/>
        <w:numId w:val="1"/>
      </w:numPr>
      <w:spacing w:before="480" w:after="0"/>
      <w:jc w:val="center"/>
      <w:outlineLvl w:val="4"/>
    </w:pPr>
    <w:rPr>
      <w:sz w:val="40"/>
      <w:szCs w:val="20"/>
    </w:rPr>
  </w:style>
  <w:style w:type="paragraph" w:styleId="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character" w:styleId="Style10">
    <w:name w:val="Основной шрифт абзаца"/>
    <w:qFormat/>
    <w:rPr/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b w:val="false"/>
      <w:i w:val="false"/>
      <w:color w:val="000000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/>
  </w:style>
  <w:style w:type="character" w:styleId="WW8Num5z0">
    <w:name w:val="WW8Num5z0"/>
    <w:qFormat/>
    <w:rPr/>
  </w:style>
  <w:style w:type="character" w:styleId="1">
    <w:name w:val="Основной шрифт абзаца1"/>
    <w:qFormat/>
    <w:rPr/>
  </w:style>
  <w:style w:type="character" w:styleId="Style11">
    <w:name w:val="Текст выноски Знак"/>
    <w:qFormat/>
    <w:rPr>
      <w:rFonts w:ascii="Tahoma" w:hAnsi="Tahoma" w:cs="Tahoma"/>
      <w:sz w:val="16"/>
      <w:szCs w:val="16"/>
    </w:rPr>
  </w:style>
  <w:style w:type="character" w:styleId="Style12">
    <w:name w:val="Интернет-ссылка"/>
    <w:rPr>
      <w:color w:val="0000FF"/>
      <w:u w:val="single"/>
    </w:rPr>
  </w:style>
  <w:style w:type="character" w:styleId="Style13">
    <w:name w:val="Гипертекстовая ссылка"/>
    <w:qFormat/>
    <w:rPr>
      <w:rFonts w:cs="Times New Roman"/>
      <w:color w:val="106BBE"/>
    </w:rPr>
  </w:style>
  <w:style w:type="character" w:styleId="Style14">
    <w:name w:val="Схема документа Знак"/>
    <w:qFormat/>
    <w:rPr>
      <w:rFonts w:ascii="Tahoma" w:hAnsi="Tahoma" w:cs="Tahoma"/>
      <w:sz w:val="16"/>
      <w:szCs w:val="16"/>
    </w:rPr>
  </w:style>
  <w:style w:type="character" w:styleId="Style15">
    <w:name w:val="Название Знак"/>
    <w:qFormat/>
    <w:rPr>
      <w:b/>
      <w:bCs/>
      <w:sz w:val="28"/>
      <w:szCs w:val="24"/>
    </w:rPr>
  </w:style>
  <w:style w:type="character" w:styleId="Style16">
    <w:name w:val="Подзаголовок Знак"/>
    <w:qFormat/>
    <w:rPr>
      <w:b/>
      <w:sz w:val="28"/>
    </w:rPr>
  </w:style>
  <w:style w:type="character" w:styleId="Style17">
    <w:name w:val="Текст сноски Знак"/>
    <w:basedOn w:val="1"/>
    <w:qFormat/>
    <w:rPr/>
  </w:style>
  <w:style w:type="character" w:styleId="Style18">
    <w:name w:val="Символ сноски"/>
    <w:qFormat/>
    <w:rPr>
      <w:vertAlign w:val="superscript"/>
    </w:rPr>
  </w:style>
  <w:style w:type="character" w:styleId="Style19">
    <w:name w:val="Посещённая гиперссылка"/>
    <w:rPr>
      <w:color w:val="800000"/>
      <w:u w:val="single"/>
      <w:lang w:val="zxx" w:bidi="zxx"/>
    </w:rPr>
  </w:style>
  <w:style w:type="character" w:styleId="41">
    <w:name w:val=" Знак Знак4"/>
    <w:qFormat/>
    <w:rPr>
      <w:sz w:val="28"/>
      <w:szCs w:val="28"/>
      <w:lang w:eastAsia="zh-CN"/>
    </w:rPr>
  </w:style>
  <w:style w:type="character" w:styleId="31">
    <w:name w:val=" Знак Знак3"/>
    <w:qFormat/>
    <w:rPr>
      <w:sz w:val="28"/>
      <w:szCs w:val="28"/>
      <w:lang w:eastAsia="zh-CN"/>
    </w:rPr>
  </w:style>
  <w:style w:type="character" w:styleId="Style20">
    <w:name w:val="Номер страницы"/>
    <w:basedOn w:val="Style10"/>
    <w:rPr/>
  </w:style>
  <w:style w:type="character" w:styleId="Style21">
    <w:name w:val="Знак примечания"/>
    <w:qFormat/>
    <w:rPr>
      <w:sz w:val="16"/>
      <w:szCs w:val="16"/>
    </w:rPr>
  </w:style>
  <w:style w:type="character" w:styleId="2">
    <w:name w:val=" Знак Знак2"/>
    <w:qFormat/>
    <w:rPr>
      <w:lang w:eastAsia="zh-CN"/>
    </w:rPr>
  </w:style>
  <w:style w:type="character" w:styleId="11">
    <w:name w:val=" Знак Знак1"/>
    <w:qFormat/>
    <w:rPr>
      <w:b/>
      <w:bCs/>
      <w:lang w:eastAsia="zh-CN"/>
    </w:rPr>
  </w:style>
  <w:style w:type="character" w:styleId="Highlightsearch">
    <w:name w:val="highlightsearch"/>
    <w:basedOn w:val="Style10"/>
    <w:qFormat/>
    <w:rPr/>
  </w:style>
  <w:style w:type="character" w:styleId="Style22">
    <w:name w:val="Знак сноски"/>
    <w:qFormat/>
    <w:rPr>
      <w:vertAlign w:val="superscript"/>
    </w:rPr>
  </w:style>
  <w:style w:type="character" w:styleId="WW">
    <w:name w:val="WW-Интернет-ссылка"/>
    <w:qFormat/>
    <w:rPr>
      <w:color w:val="0000FF"/>
      <w:u w:val="single"/>
    </w:rPr>
  </w:style>
  <w:style w:type="character" w:styleId="Style23">
    <w:name w:val=" Знак Знак"/>
    <w:qFormat/>
    <w:rPr>
      <w:rFonts w:ascii="Courier New" w:hAnsi="Courier New" w:cs="Courier New"/>
    </w:rPr>
  </w:style>
  <w:style w:type="paragraph" w:styleId="Style24">
    <w:name w:val="Заголовок"/>
    <w:basedOn w:val="Normal"/>
    <w:next w:val="Style2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5">
    <w:name w:val="Body Text"/>
    <w:basedOn w:val="Normal"/>
    <w:pPr>
      <w:ind w:left="0" w:right="-483" w:hanging="0"/>
      <w:jc w:val="both"/>
    </w:pPr>
    <w:rPr>
      <w:b/>
      <w:bCs/>
      <w:szCs w:val="24"/>
    </w:rPr>
  </w:style>
  <w:style w:type="paragraph" w:styleId="Style26">
    <w:name w:val="List"/>
    <w:basedOn w:val="Style25"/>
    <w:pPr/>
    <w:rPr>
      <w:rFonts w:cs="Droid Sans Devanagari;Segoe UI"/>
    </w:rPr>
  </w:style>
  <w:style w:type="paragraph" w:styleId="Style2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8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12">
    <w:name w:val="Заголовок1"/>
    <w:basedOn w:val="Normal"/>
    <w:next w:val="Style25"/>
    <w:qFormat/>
    <w:pPr>
      <w:jc w:val="center"/>
    </w:pPr>
    <w:rPr>
      <w:b/>
      <w:bCs/>
      <w:szCs w:val="24"/>
      <w:lang w:val="ru-RU"/>
    </w:rPr>
  </w:style>
  <w:style w:type="paragraph" w:styleId="Style29">
    <w:name w:val="Название объекта"/>
    <w:basedOn w:val="Normal"/>
    <w:qFormat/>
    <w:pPr>
      <w:suppressLineNumbers/>
      <w:spacing w:before="120" w:after="120"/>
    </w:pPr>
    <w:rPr>
      <w:rFonts w:cs="Droid Sans Devanagari;Segoe UI"/>
      <w:i/>
      <w:iCs/>
      <w:sz w:val="24"/>
      <w:szCs w:val="24"/>
    </w:rPr>
  </w:style>
  <w:style w:type="paragraph" w:styleId="13">
    <w:name w:val="Указатель1"/>
    <w:basedOn w:val="Normal"/>
    <w:qFormat/>
    <w:pPr>
      <w:suppressLineNumbers/>
    </w:pPr>
    <w:rPr>
      <w:rFonts w:cs="Droid Sans Devanagari;Segoe UI"/>
    </w:rPr>
  </w:style>
  <w:style w:type="paragraph" w:styleId="ConsNonformat">
    <w:name w:val="ConsNonformat"/>
    <w:qFormat/>
    <w:pPr>
      <w:widowControl w:val="false"/>
      <w:suppressAutoHyphens w:val="true"/>
      <w:bidi w:val="0"/>
      <w:spacing w:before="0" w:after="0"/>
      <w:ind w:right="19772" w:hanging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zh-CN" w:bidi="ar-SA"/>
    </w:rPr>
  </w:style>
  <w:style w:type="paragraph" w:styleId="ConsPlusTitle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Calibri"/>
      <w:b/>
      <w:bCs/>
      <w:color w:val="auto"/>
      <w:kern w:val="0"/>
      <w:sz w:val="22"/>
      <w:szCs w:val="22"/>
      <w:lang w:val="ru-RU" w:eastAsia="zh-CN" w:bidi="ar-SA"/>
    </w:rPr>
  </w:style>
  <w:style w:type="paragraph" w:styleId="Style30">
    <w:name w:val="Знак"/>
    <w:basedOn w:val="Normal"/>
    <w:qFormat/>
    <w:pPr/>
    <w:rPr>
      <w:rFonts w:ascii="Verdana" w:hAnsi="Verdana" w:cs="Verdana"/>
      <w:sz w:val="20"/>
      <w:szCs w:val="20"/>
      <w:lang w:val="en-US"/>
    </w:rPr>
  </w:style>
  <w:style w:type="paragraph" w:styleId="Style31">
    <w:name w:val="Без интервала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libri" w:cs="Times New Roman"/>
      <w:color w:val="auto"/>
      <w:kern w:val="0"/>
      <w:sz w:val="28"/>
      <w:szCs w:val="22"/>
      <w:lang w:val="ru-RU" w:eastAsia="zh-CN" w:bidi="ar-SA"/>
    </w:rPr>
  </w:style>
  <w:style w:type="paragraph" w:styleId="Style32">
    <w:name w:val="Текст выноски"/>
    <w:basedOn w:val="Normal"/>
    <w:qFormat/>
    <w:pPr/>
    <w:rPr>
      <w:rFonts w:ascii="Tahoma" w:hAnsi="Tahoma" w:cs="Tahoma"/>
      <w:sz w:val="16"/>
      <w:szCs w:val="16"/>
      <w:lang w:val="ru-RU"/>
    </w:rPr>
  </w:style>
  <w:style w:type="paragraph" w:styleId="ConsTitle">
    <w:name w:val="ConsTitle"/>
    <w:qFormat/>
    <w:pPr>
      <w:widowControl w:val="false"/>
      <w:suppressAutoHyphens w:val="true"/>
      <w:bidi w:val="0"/>
      <w:snapToGrid w:val="false"/>
      <w:spacing w:before="0" w:after="0"/>
      <w:jc w:val="left"/>
    </w:pPr>
    <w:rPr>
      <w:rFonts w:ascii="Arial" w:hAnsi="Arial" w:eastAsia="Times New Roman" w:cs="Arial"/>
      <w:b/>
      <w:color w:val="auto"/>
      <w:kern w:val="0"/>
      <w:sz w:val="16"/>
      <w:szCs w:val="20"/>
      <w:lang w:val="ru-RU" w:eastAsia="zh-CN" w:bidi="ar-SA"/>
    </w:rPr>
  </w:style>
  <w:style w:type="paragraph" w:styleId="ConsPlusNormal">
    <w:name w:val="ConsPlusNormal"/>
    <w:qFormat/>
    <w:pPr>
      <w:widowControl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33">
    <w:name w:val=" Знак"/>
    <w:basedOn w:val="Normal"/>
    <w:qFormat/>
    <w:pPr>
      <w:suppressAutoHyphens w:val="true"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styleId="S1">
    <w:name w:val="s_1"/>
    <w:basedOn w:val="Normal"/>
    <w:qFormat/>
    <w:pPr>
      <w:ind w:left="0" w:right="0" w:firstLine="720"/>
      <w:jc w:val="both"/>
    </w:pPr>
    <w:rPr>
      <w:rFonts w:ascii="Arial" w:hAnsi="Arial" w:cs="Arial"/>
      <w:sz w:val="26"/>
      <w:szCs w:val="26"/>
    </w:rPr>
  </w:style>
  <w:style w:type="paragraph" w:styleId="14">
    <w:name w:val="Схема документа1"/>
    <w:basedOn w:val="Normal"/>
    <w:qFormat/>
    <w:pPr/>
    <w:rPr>
      <w:rFonts w:ascii="Tahoma" w:hAnsi="Tahoma" w:cs="Tahoma"/>
      <w:sz w:val="16"/>
      <w:szCs w:val="16"/>
      <w:lang w:val="ru-RU"/>
    </w:rPr>
  </w:style>
  <w:style w:type="paragraph" w:styleId="Style34">
    <w:name w:val="Текст в заданном формате"/>
    <w:basedOn w:val="Normal"/>
    <w:qFormat/>
    <w:pPr>
      <w:widowControl w:val="false"/>
    </w:pPr>
    <w:rPr>
      <w:rFonts w:ascii="Liberation Mono;Courier New" w:hAnsi="Liberation Mono;Courier New" w:eastAsia="Droid Sans Fallback;Times New Roman" w:cs="Liberation Mono;Courier New"/>
      <w:sz w:val="20"/>
      <w:szCs w:val="20"/>
      <w:lang w:eastAsia="zh-CN" w:bidi="hi-IN"/>
    </w:rPr>
  </w:style>
  <w:style w:type="paragraph" w:styleId="NoSpacing">
    <w:name w:val="No Spacing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paragraph" w:styleId="Style35">
    <w:name w:val="Subtitle"/>
    <w:basedOn w:val="Normal"/>
    <w:next w:val="Style25"/>
    <w:qFormat/>
    <w:pPr>
      <w:jc w:val="center"/>
    </w:pPr>
    <w:rPr>
      <w:b/>
      <w:szCs w:val="20"/>
      <w:lang w:val="ru-RU"/>
    </w:rPr>
  </w:style>
  <w:style w:type="paragraph" w:styleId="Style36">
    <w:name w:val="Footnote Text"/>
    <w:basedOn w:val="Normal"/>
    <w:pPr/>
    <w:rPr>
      <w:sz w:val="20"/>
      <w:szCs w:val="20"/>
    </w:rPr>
  </w:style>
  <w:style w:type="paragraph" w:styleId="Style37">
    <w:name w:val="Колонтитул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Style38">
    <w:name w:val="Header"/>
    <w:basedOn w:val="Normal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39">
    <w:name w:val="Footer"/>
    <w:basedOn w:val="Normal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40">
    <w:name w:val="Текст примечания"/>
    <w:basedOn w:val="Normal"/>
    <w:qFormat/>
    <w:pPr/>
    <w:rPr>
      <w:sz w:val="20"/>
      <w:szCs w:val="20"/>
    </w:rPr>
  </w:style>
  <w:style w:type="paragraph" w:styleId="Style41">
    <w:name w:val="Тема примечания"/>
    <w:basedOn w:val="Style40"/>
    <w:next w:val="Style40"/>
    <w:qFormat/>
    <w:pPr/>
    <w:rPr>
      <w:b/>
      <w:bCs/>
    </w:rPr>
  </w:style>
  <w:style w:type="paragraph" w:styleId="Style42">
    <w:name w:val="Рецензия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zh-CN" w:bidi="ar-SA"/>
    </w:rPr>
  </w:style>
  <w:style w:type="paragraph" w:styleId="HTML">
    <w:name w:val="Стандартный HTML"/>
    <w:basedOn w:val="Normal"/>
    <w:qFormat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cs="Courier New"/>
      <w:sz w:val="20"/>
      <w:szCs w:val="20"/>
    </w:rPr>
  </w:style>
  <w:style w:type="paragraph" w:styleId="Style43">
    <w:name w:val="Обычный (веб)"/>
    <w:basedOn w:val="Normal"/>
    <w:qFormat/>
    <w:pPr>
      <w:spacing w:before="280" w:after="280"/>
    </w:pPr>
    <w:rPr>
      <w:rFonts w:eastAsia="Calibri"/>
    </w:rPr>
  </w:style>
  <w:style w:type="paragraph" w:styleId="Style44">
    <w:name w:val="Содержимое таблицы"/>
    <w:basedOn w:val="Normal"/>
    <w:qFormat/>
    <w:pPr>
      <w:widowControl w:val="false"/>
      <w:suppressLineNumbers/>
    </w:pPr>
    <w:rPr/>
  </w:style>
  <w:style w:type="paragraph" w:styleId="Style45">
    <w:name w:val="Заголовок таблицы"/>
    <w:basedOn w:val="Style44"/>
    <w:qFormat/>
    <w:pPr>
      <w:suppressLineNumbers/>
      <w:jc w:val="center"/>
    </w:pPr>
    <w:rPr>
      <w:b/>
      <w:bCs/>
    </w:rPr>
  </w:style>
  <w:style w:type="paragraph" w:styleId="Style46">
    <w:name w:val="Содержимое врезки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Normal_x005F_x0000_</Template>
  <TotalTime>85</TotalTime>
  <Application>LibreOffice/7.3.0.3$Windows_x86 LibreOffice_project/0f246aa12d0eee4a0f7adcefbf7c878fc2238db3</Application>
  <AppVersion>15.0000</AppVersion>
  <Company>КонсультантПлюс Версия 4020.00.61_x005F_x0000__x005F_x0000_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2022-02-10T09:55:00Z</dcterms:created>
  <dc:creator>Сергей Викторович</dc:creator>
  <dc:description/>
  <dc:language>ru-RU</dc:language>
  <cp:lastModifiedBy/>
  <cp:lastPrinted>2022-05-04T15:21:06Z</cp:lastPrinted>
  <dcterms:modified xsi:type="dcterms:W3CDTF">2022-05-04T15:21:58Z</dcterms:modified>
  <cp:revision>27</cp:revision>
  <dc:subject/>
  <dc:title>Федеральный закон от 31.07.2020 N 248-ФЗ(ред. от 11.06.2021)"О государственном контроле (надзоре) и муниципальном контроле в Российской Федерации"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