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rFonts w:ascii="Times New Roman" w:hAnsi="Times New Roman"/>
          <w:b/>
          <w:b/>
          <w:sz w:val="28"/>
          <w:szCs w:val="28"/>
        </w:rPr>
      </w:pPr>
      <w:r>
        <w:rPr>
          <w:rFonts w:ascii="Times New Roman" w:hAnsi="Times New Roman"/>
          <w:b/>
          <w:sz w:val="28"/>
          <w:szCs w:val="28"/>
        </w:rPr>
        <w:t>МЕТОДИЧЕСКИЕ РЕКОМЕНДАЦИИ</w:t>
      </w:r>
    </w:p>
    <w:p>
      <w:pPr>
        <w:pStyle w:val="Normal"/>
        <w:ind w:hanging="0"/>
        <w:jc w:val="center"/>
        <w:rPr>
          <w:rFonts w:ascii="Times New Roman" w:hAnsi="Times New Roman"/>
          <w:b/>
          <w:b/>
          <w:sz w:val="28"/>
          <w:szCs w:val="28"/>
        </w:rPr>
      </w:pPr>
      <w:r>
        <w:rPr>
          <w:rFonts w:ascii="Times New Roman" w:hAnsi="Times New Roman"/>
          <w:b/>
          <w:sz w:val="28"/>
          <w:szCs w:val="28"/>
        </w:rPr>
        <w:t>ПО ВОПРОСАМ ПРЕДСТАВЛЕНИЯ СВЕДЕНИЙ</w:t>
      </w:r>
    </w:p>
    <w:p>
      <w:pPr>
        <w:pStyle w:val="Normal"/>
        <w:ind w:hanging="0"/>
        <w:jc w:val="center"/>
        <w:rPr>
          <w:rFonts w:ascii="Times New Roman" w:hAnsi="Times New Roman"/>
          <w:b/>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pStyle w:val="Normal"/>
        <w:ind w:hanging="0"/>
        <w:jc w:val="center"/>
        <w:rPr>
          <w:rFonts w:ascii="Times New Roman" w:hAnsi="Times New Roman"/>
          <w:b/>
          <w:b/>
          <w:sz w:val="28"/>
          <w:szCs w:val="28"/>
        </w:rPr>
      </w:pPr>
      <w:r>
        <w:rPr>
          <w:rFonts w:ascii="Times New Roman" w:hAnsi="Times New Roman"/>
          <w:b/>
          <w:sz w:val="28"/>
          <w:szCs w:val="28"/>
        </w:rPr>
        <w:t xml:space="preserve">И ЗАПОЛНЕНИЯ СООТВЕТСТВУЮЩЕЙ ФОРМЫ СПРАВКИ </w:t>
      </w:r>
    </w:p>
    <w:p>
      <w:pPr>
        <w:pStyle w:val="Normal"/>
        <w:ind w:hanging="0"/>
        <w:jc w:val="center"/>
        <w:rPr>
          <w:rFonts w:ascii="Times New Roman" w:hAnsi="Times New Roman"/>
          <w:sz w:val="28"/>
          <w:szCs w:val="28"/>
        </w:rPr>
      </w:pPr>
      <w:r>
        <w:rPr>
          <w:rFonts w:ascii="Times New Roman" w:hAnsi="Times New Roman"/>
          <w:sz w:val="28"/>
          <w:szCs w:val="28"/>
        </w:rPr>
        <w:t>в 2022 году (за отчетный 2021 год)</w:t>
      </w:r>
    </w:p>
    <w:p>
      <w:pPr>
        <w:pStyle w:val="Normal"/>
        <w:ind w:hanging="0"/>
        <w:jc w:val="center"/>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pStyle w:val="Normal"/>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а также уполномочено издавать </w:t>
      </w:r>
      <w:hyperlink r:id="rId2">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pStyle w:val="Normal"/>
        <w:ind w:firstLine="567"/>
        <w:rPr>
          <w:rFonts w:ascii="Times New Roman" w:hAnsi="Times New Roman"/>
          <w:sz w:val="28"/>
          <w:szCs w:val="28"/>
        </w:rPr>
      </w:pPr>
      <w:r>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Normal"/>
        <w:ind w:firstLine="567"/>
        <w:rPr>
          <w:rFonts w:ascii="Times New Roman" w:hAnsi="Times New Roman"/>
          <w:sz w:val="28"/>
          <w:szCs w:val="28"/>
        </w:rPr>
      </w:pPr>
      <w:r>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Normal"/>
        <w:ind w:firstLine="567"/>
        <w:rPr>
          <w:rFonts w:ascii="Times New Roman" w:hAnsi="Times New Roman"/>
          <w:sz w:val="28"/>
          <w:szCs w:val="28"/>
        </w:rPr>
      </w:pPr>
      <w:r>
        <w:rPr>
          <w:rFonts w:ascii="Times New Roman" w:hAnsi="Times New Roman"/>
          <w:sz w:val="28"/>
          <w:szCs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pPr>
        <w:pStyle w:val="Normal"/>
        <w:ind w:firstLine="567"/>
        <w:rPr>
          <w:rFonts w:ascii="Times New Roman" w:hAnsi="Times New Roman"/>
          <w:sz w:val="28"/>
          <w:szCs w:val="28"/>
        </w:rPr>
      </w:pPr>
      <w:r>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Normal"/>
        <w:ind w:firstLine="567"/>
        <w:rPr>
          <w:rFonts w:ascii="Times New Roman" w:hAnsi="Times New Roman"/>
          <w:sz w:val="28"/>
          <w:szCs w:val="28"/>
        </w:rPr>
      </w:pPr>
      <w:r>
        <w:rPr>
          <w:rFonts w:ascii="Times New Roman" w:hAnsi="Times New Roman"/>
          <w:sz w:val="28"/>
          <w:szCs w:val="28"/>
        </w:rPr>
      </w:r>
    </w:p>
    <w:p>
      <w:pPr>
        <w:pStyle w:val="ListParagraph"/>
        <w:numPr>
          <w:ilvl w:val="0"/>
          <w:numId w:val="7"/>
        </w:numPr>
        <w:tabs>
          <w:tab w:val="clear" w:pos="709"/>
          <w:tab w:val="left" w:pos="426" w:leader="none"/>
        </w:tabs>
        <w:ind w:left="0" w:hanging="0"/>
        <w:jc w:val="center"/>
        <w:rPr>
          <w:rFonts w:ascii="Times New Roman" w:hAnsi="Times New Roman"/>
          <w:b/>
          <w:b/>
          <w:sz w:val="28"/>
          <w:szCs w:val="28"/>
        </w:rPr>
      </w:pPr>
      <w:r>
        <w:rPr>
          <w:rFonts w:ascii="Times New Roman" w:hAnsi="Times New Roman"/>
          <w:b/>
          <w:sz w:val="28"/>
          <w:szCs w:val="28"/>
        </w:rPr>
        <w:t>Представление сведений о доходах, расходах,</w:t>
      </w:r>
    </w:p>
    <w:p>
      <w:pPr>
        <w:pStyle w:val="ListParagraph"/>
        <w:ind w:left="0" w:firstLine="709"/>
        <w:jc w:val="center"/>
        <w:rPr>
          <w:rFonts w:ascii="Times New Roman" w:hAnsi="Times New Roman"/>
          <w:b/>
          <w:b/>
          <w:sz w:val="28"/>
          <w:szCs w:val="28"/>
        </w:rPr>
      </w:pPr>
      <w:r>
        <w:rPr>
          <w:rFonts w:ascii="Times New Roman" w:hAnsi="Times New Roman"/>
          <w:b/>
          <w:sz w:val="28"/>
          <w:szCs w:val="28"/>
        </w:rPr>
        <w:t>об имуществе и обязательствах имущественного характера</w:t>
      </w:r>
    </w:p>
    <w:p>
      <w:pPr>
        <w:pStyle w:val="Normal"/>
        <w:jc w:val="center"/>
        <w:rPr>
          <w:rFonts w:ascii="Times New Roman" w:hAnsi="Times New Roman"/>
          <w:sz w:val="28"/>
          <w:szCs w:val="28"/>
        </w:rPr>
      </w:pPr>
      <w:r>
        <w:rPr>
          <w:rFonts w:ascii="Times New Roman" w:hAnsi="Times New Roman"/>
          <w:sz w:val="28"/>
          <w:szCs w:val="28"/>
        </w:rPr>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Normal"/>
        <w:tabs>
          <w:tab w:val="clear" w:pos="709"/>
          <w:tab w:val="left" w:pos="567" w:leader="none"/>
        </w:tabs>
        <w:ind w:firstLine="567"/>
        <w:rPr>
          <w:rFonts w:ascii="Times New Roman" w:hAnsi="Times New Roman"/>
          <w:b/>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pPr>
        <w:pStyle w:val="ListParagraph"/>
        <w:numPr>
          <w:ilvl w:val="0"/>
          <w:numId w:val="1"/>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ListParagraph"/>
        <w:numPr>
          <w:ilvl w:val="0"/>
          <w:numId w:val="3"/>
        </w:numPr>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pPr>
        <w:pStyle w:val="ListParagraph"/>
        <w:numPr>
          <w:ilvl w:val="0"/>
          <w:numId w:val="3"/>
        </w:numPr>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3">
        <w:r>
          <w:rPr>
            <w:rFonts w:ascii="Times New Roman" w:hAnsi="Times New Roman"/>
            <w:sz w:val="28"/>
            <w:szCs w:val="28"/>
          </w:rPr>
          <w:t>перечни</w:t>
        </w:r>
      </w:hyperlink>
      <w:r>
        <w:rPr>
          <w:rFonts w:ascii="Times New Roman" w:hAnsi="Times New Roman"/>
          <w:sz w:val="28"/>
          <w:szCs w:val="28"/>
        </w:rPr>
        <w:t>, утвержденные нормативными правовыми актами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pPr>
        <w:pStyle w:val="ConsPlusNormal"/>
        <w:numPr>
          <w:ilvl w:val="0"/>
          <w:numId w:val="3"/>
        </w:numPr>
        <w:tabs>
          <w:tab w:val="clear" w:pos="709"/>
          <w:tab w:val="left" w:pos="567" w:leader="none"/>
        </w:tabs>
        <w:ind w:left="0" w:firstLine="567"/>
        <w:jc w:val="both"/>
        <w:rPr/>
      </w:pPr>
      <w:r>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4">
        <w:r>
          <w:rPr/>
          <w:t>перечень</w:t>
        </w:r>
      </w:hyperlink>
      <w:r>
        <w:rPr/>
        <w:t>, утвержденный Советом директоров Центрального банка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5">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ListParagraph"/>
        <w:numPr>
          <w:ilvl w:val="0"/>
          <w:numId w:val="4"/>
        </w:numPr>
        <w:tabs>
          <w:tab w:val="clear" w:pos="709"/>
          <w:tab w:val="left" w:pos="0" w:leader="none"/>
        </w:tabs>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 Федерации (поступающим на службу);</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6">
        <w:r>
          <w:rPr>
            <w:rFonts w:ascii="Times New Roman" w:hAnsi="Times New Roman"/>
            <w:sz w:val="28"/>
            <w:szCs w:val="28"/>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7">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иных должностей в соответствии с законодательством Российской Федерации.</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8">
        <w:r>
          <w:rPr>
            <w:rFonts w:ascii="Times New Roman" w:hAnsi="Times New Roman"/>
            <w:sz w:val="28"/>
            <w:szCs w:val="28"/>
          </w:rPr>
          <w:t>перечнем</w:t>
        </w:r>
      </w:hyperlink>
      <w:r>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pPr>
        <w:pStyle w:val="Normal"/>
        <w:tabs>
          <w:tab w:val="clear" w:pos="709"/>
          <w:tab w:val="left" w:pos="567" w:leader="none"/>
        </w:tabs>
        <w:ind w:firstLine="567"/>
        <w:rPr>
          <w:rFonts w:ascii="Times New Roman" w:hAnsi="Times New Roman"/>
          <w:b/>
          <w:b/>
          <w:sz w:val="28"/>
          <w:szCs w:val="28"/>
        </w:rPr>
      </w:pPr>
      <w:r>
        <w:rPr>
          <w:rFonts w:ascii="Times New Roman" w:hAnsi="Times New Roman"/>
          <w:b/>
          <w:sz w:val="28"/>
          <w:szCs w:val="28"/>
        </w:rPr>
        <w:t>Обязательность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частности,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pPr>
        <w:pStyle w:val="Normal"/>
        <w:tabs>
          <w:tab w:val="clear" w:pos="709"/>
          <w:tab w:val="left" w:pos="567" w:leader="none"/>
        </w:tabs>
        <w:ind w:firstLine="567"/>
        <w:rPr>
          <w:rFonts w:ascii="Times New Roman" w:hAnsi="Times New Roman"/>
          <w:b/>
          <w:b/>
          <w:sz w:val="28"/>
          <w:szCs w:val="28"/>
        </w:rPr>
      </w:pPr>
      <w:r>
        <w:rPr>
          <w:rFonts w:ascii="Times New Roman" w:hAnsi="Times New Roman"/>
          <w:b/>
          <w:sz w:val="28"/>
          <w:szCs w:val="28"/>
        </w:rPr>
        <w:t>Сроки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Служащие (работники) представляют сведения ежегодно в следующие сроки:</w:t>
      </w:r>
    </w:p>
    <w:p>
      <w:pPr>
        <w:pStyle w:val="ListParagraph"/>
        <w:numPr>
          <w:ilvl w:val="0"/>
          <w:numId w:val="5"/>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ListParagraph"/>
        <w:numPr>
          <w:ilvl w:val="0"/>
          <w:numId w:val="5"/>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5 настоящих Методический рекомендаций.</w:t>
      </w:r>
    </w:p>
    <w:p>
      <w:pPr>
        <w:pStyle w:val="Normal"/>
        <w:tabs>
          <w:tab w:val="clear" w:pos="709"/>
          <w:tab w:val="left" w:pos="567" w:leader="none"/>
        </w:tabs>
        <w:ind w:firstLine="567"/>
        <w:rPr>
          <w:rFonts w:ascii="Times New Roman" w:hAnsi="Times New Roman"/>
          <w:b/>
          <w:b/>
          <w:sz w:val="28"/>
          <w:szCs w:val="28"/>
        </w:rPr>
      </w:pPr>
      <w:r>
        <w:rPr>
          <w:rFonts w:ascii="Times New Roman" w:hAnsi="Times New Roman"/>
          <w:b/>
          <w:sz w:val="28"/>
          <w:szCs w:val="28"/>
        </w:rPr>
        <w:t>Лица, в отношении которых представляются сведения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pPr>
        <w:pStyle w:val="ListParagraph"/>
        <w:numPr>
          <w:ilvl w:val="0"/>
          <w:numId w:val="6"/>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гражданин представляет:</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ListParagraph"/>
        <w:numPr>
          <w:ilvl w:val="0"/>
          <w:numId w:val="6"/>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12 настоящих Методических рекомендаций.</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pPr>
        <w:pStyle w:val="ListParagraph"/>
        <w:numPr>
          <w:ilvl w:val="0"/>
          <w:numId w:val="1"/>
        </w:numPr>
        <w:tabs>
          <w:tab w:val="clear" w:pos="709"/>
          <w:tab w:val="left" w:pos="284"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ListParagraph"/>
        <w:numPr>
          <w:ilvl w:val="1"/>
          <w:numId w:val="1"/>
        </w:numPr>
        <w:tabs>
          <w:tab w:val="clear" w:pos="709"/>
          <w:tab w:val="left" w:pos="284"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w:t>
      </w:r>
    </w:p>
    <w:p>
      <w:pPr>
        <w:pStyle w:val="ListParagraph"/>
        <w:numPr>
          <w:ilvl w:val="1"/>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pPr>
        <w:pStyle w:val="ListParagraph"/>
        <w:ind w:left="0" w:firstLine="567"/>
        <w:rPr>
          <w:rFonts w:ascii="Times New Roman" w:hAnsi="Times New Roman"/>
          <w:sz w:val="28"/>
          <w:szCs w:val="28"/>
        </w:rPr>
      </w:pPr>
      <w:r>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1 (30) апреля 2022 г. не требуется.</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 не подлежат опубликованию на официальном сайте в информационно-телекоммуникационной сети "Интернет".</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Normal"/>
        <w:tabs>
          <w:tab w:val="clear" w:pos="709"/>
          <w:tab w:val="left" w:pos="567" w:leader="none"/>
        </w:tabs>
        <w:ind w:firstLine="567"/>
        <w:rPr>
          <w:rFonts w:ascii="Times New Roman" w:hAnsi="Times New Roman"/>
          <w:b/>
          <w:b/>
          <w:sz w:val="28"/>
          <w:szCs w:val="28"/>
        </w:rPr>
      </w:pPr>
      <w:r>
        <w:rPr>
          <w:rFonts w:ascii="Times New Roman" w:hAnsi="Times New Roman"/>
          <w:b/>
          <w:sz w:val="28"/>
          <w:szCs w:val="28"/>
        </w:rPr>
        <w:t>Определение круга лиц (членов семьи), в отношении которых необходимо представить сведения</w:t>
      </w:r>
    </w:p>
    <w:p>
      <w:pPr>
        <w:pStyle w:val="ListParagraph"/>
        <w:numPr>
          <w:ilvl w:val="0"/>
          <w:numId w:val="1"/>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pPr>
        <w:pStyle w:val="Normal"/>
        <w:tabs>
          <w:tab w:val="clear" w:pos="709"/>
          <w:tab w:val="left" w:pos="567" w:leader="none"/>
        </w:tabs>
        <w:ind w:firstLine="567"/>
        <w:rPr>
          <w:rFonts w:ascii="Times New Roman" w:hAnsi="Times New Roman"/>
          <w:b/>
          <w:b/>
          <w:sz w:val="28"/>
          <w:szCs w:val="28"/>
        </w:rPr>
      </w:pPr>
      <w:r>
        <w:rPr>
          <w:rFonts w:ascii="Times New Roman" w:hAnsi="Times New Roman"/>
          <w:b/>
          <w:sz w:val="28"/>
          <w:szCs w:val="28"/>
        </w:rPr>
        <w:t>Супруги</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3118"/>
        <w:gridCol w:w="7229"/>
      </w:tblGrid>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2022 году </w:t>
              <w:br/>
              <w:t>(за отчетный 2021 г.)</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2021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2021 года) служащий (работник) состоял в браке</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Брак заключен в ЗАГСе в марте 2022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супруги (супруга) не представляются, поскольку по состоянию на отчетную дату (31 декабря 2021 года) служащий (работник) не состоял в браке</w:t>
            </w:r>
          </w:p>
        </w:tc>
      </w:tr>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trPr>
          <w:trHeight w:val="660"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1 февраля 2022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представляются, поскольку по состоянию на отчетную дату (1 августа 2022 года) гражданин состоял в браке</w:t>
            </w:r>
          </w:p>
        </w:tc>
      </w:tr>
      <w:tr>
        <w:trPr>
          <w:trHeight w:val="131"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2 августа 2022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не представляются, поскольку по состоянию на отчетную дату (1 августа 2022 года) гражданин еще не вступил в брак</w:t>
            </w:r>
          </w:p>
        </w:tc>
      </w:tr>
    </w:tbl>
    <w:p>
      <w:pPr>
        <w:pStyle w:val="ListParagraph"/>
        <w:tabs>
          <w:tab w:val="clear" w:pos="709"/>
          <w:tab w:val="left" w:pos="1134" w:leader="none"/>
        </w:tabs>
        <w:ind w:left="709" w:firstLine="851"/>
        <w:rPr>
          <w:rFonts w:ascii="Times New Roman" w:hAnsi="Times New Roman"/>
          <w:sz w:val="28"/>
          <w:szCs w:val="28"/>
        </w:rPr>
      </w:pPr>
      <w:r>
        <w:rPr>
          <w:rFonts w:ascii="Times New Roman" w:hAnsi="Times New Roman"/>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3146"/>
        <w:gridCol w:w="7201"/>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2022 году (за отчетный 2021 г.)</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в ноябре 2021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2021 года) служащий (работник)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12 декабря 2021 года и вступило в законную силу 12 января 2022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2022 года. Таким образом, по состоянию на отчетную дату (31 декабря 2021 года) служащий (работник) считался состоявшим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в марте 2022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2021 года) служащий (работник) состоял в браке</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1 июля 2022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2022 года) гражданин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2 августа 2022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(1 августа 2022 года) гражданин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2022 года и вступило в законную силу 4 августа 2022 г.</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2022 года. Таким образом, по состоянию на отчетную дату (1 августа 2022 года) гражданин считался состоявшим в браке</w:t>
            </w:r>
          </w:p>
        </w:tc>
      </w:tr>
    </w:tbl>
    <w:p>
      <w:pPr>
        <w:pStyle w:val="Normal"/>
        <w:ind w:firstLine="567"/>
        <w:rPr>
          <w:rFonts w:ascii="Times New Roman" w:hAnsi="Times New Roman"/>
          <w:b/>
          <w:b/>
          <w:sz w:val="28"/>
          <w:szCs w:val="28"/>
        </w:rPr>
      </w:pPr>
      <w:r>
        <w:rPr>
          <w:rFonts w:ascii="Times New Roman" w:hAnsi="Times New Roman"/>
          <w:b/>
          <w:sz w:val="28"/>
          <w:szCs w:val="28"/>
        </w:rPr>
        <w:t>Несовершеннолетние дети</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pStyle w:val="Normal"/>
        <w:ind w:firstLine="567"/>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3118"/>
        <w:gridCol w:w="7229"/>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2022 году (за отчетный 2021 г.)</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21 мая 2021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2021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30 декабря 2021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2021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31 декабря 2021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2022 года. Таким образом, по состоянию на отчетную дату (31 декабря 2021 года) она еще являлась несовершеннолетней</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представляет в сентябре 2022 года сведения в связи с назначением на должность. Отчетной датой является 1 августа 2022 года</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5 мая 2022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2022 года) сыну гражданина уже исполнилось 18 лет</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 августа 2022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2022 года. Таким образом, по состоянию на отчетную дату (1 августа 2022 года) он еще являлся несовершеннолетним</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17 августа 2022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по состоянию на отчетную дату (1 августа 2022 года) сын гражданина являлся несовершеннолетним</w:t>
            </w:r>
          </w:p>
        </w:tc>
      </w:tr>
    </w:tbl>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ListParagraph"/>
        <w:ind w:left="0" w:firstLine="567"/>
        <w:rPr>
          <w:rFonts w:ascii="Times New Roman" w:hAnsi="Times New Roman"/>
          <w:b/>
          <w:b/>
          <w:sz w:val="28"/>
          <w:szCs w:val="28"/>
        </w:rPr>
      </w:pPr>
      <w:r>
        <w:rPr>
          <w:rFonts w:ascii="Times New Roman" w:hAnsi="Times New Roman"/>
          <w:b/>
          <w:sz w:val="28"/>
          <w:szCs w:val="28"/>
        </w:rPr>
        <w:t>Уточнение представленных сведений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Normal"/>
        <w:ind w:firstLine="567"/>
        <w:rPr>
          <w:rFonts w:ascii="Times New Roman" w:hAnsi="Times New Roman"/>
          <w:b/>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pPr>
        <w:pStyle w:val="ListParagraph"/>
        <w:ind w:left="0" w:firstLine="567"/>
        <w:rPr>
          <w:rFonts w:ascii="Times New Roman" w:hAnsi="Times New Roman"/>
          <w:sz w:val="28"/>
          <w:szCs w:val="28"/>
        </w:rPr>
      </w:pPr>
      <w:r>
        <w:rPr>
          <w:rFonts w:ascii="Times New Roman" w:hAnsi="Times New Roman"/>
          <w:sz w:val="28"/>
          <w:szCs w:val="28"/>
        </w:rPr>
        <w:t>Заявление подается (таблица № 4):</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3223"/>
        <w:gridCol w:w="7124"/>
      </w:tblGrid>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противодействия коррупции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Департамент кадров Правительства Российской Федерации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pPr>
              <w:pStyle w:val="Normal"/>
              <w:widowControl w:val="false"/>
              <w:ind w:hanging="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Центрального банка Российской Федерации</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Normal"/>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pPr>
        <w:pStyle w:val="Normal"/>
        <w:ind w:firstLine="851"/>
        <w:rPr>
          <w:rFonts w:ascii="Times New Roman" w:hAnsi="Times New Roman"/>
          <w:sz w:val="28"/>
          <w:szCs w:val="28"/>
        </w:rPr>
      </w:pPr>
      <w:r>
        <w:rPr>
          <w:rFonts w:ascii="Times New Roman" w:hAnsi="Times New Roman"/>
          <w:sz w:val="28"/>
          <w:szCs w:val="28"/>
        </w:rPr>
      </w:r>
      <w:r>
        <w:br w:type="page"/>
      </w:r>
    </w:p>
    <w:p>
      <w:pPr>
        <w:pStyle w:val="Normal"/>
        <w:ind w:firstLine="851"/>
        <w:jc w:val="center"/>
        <w:rPr>
          <w:rFonts w:ascii="Times New Roman" w:hAnsi="Times New Roman"/>
          <w:b/>
          <w:b/>
          <w:sz w:val="28"/>
          <w:szCs w:val="28"/>
        </w:rPr>
      </w:pPr>
      <w:r>
        <w:rPr>
          <w:rFonts w:ascii="Times New Roman" w:hAnsi="Times New Roman"/>
          <w:b/>
          <w:sz w:val="28"/>
          <w:szCs w:val="28"/>
          <w:lang w:val="en-US"/>
        </w:rPr>
        <w:t>II</w:t>
      </w:r>
      <w:r>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ListParagraph"/>
        <w:ind w:left="0" w:firstLine="567"/>
        <w:rPr>
          <w:rFonts w:ascii="Times New Roman" w:hAnsi="Times New Roman"/>
          <w:sz w:val="28"/>
          <w:szCs w:val="28"/>
        </w:rPr>
      </w:pPr>
      <w:r>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pPr>
        <w:pStyle w:val="ListParagraph"/>
        <w:ind w:left="0" w:firstLine="567"/>
        <w:rPr>
          <w:rFonts w:ascii="Times New Roman" w:hAnsi="Times New Roman"/>
          <w:sz w:val="28"/>
          <w:szCs w:val="28"/>
        </w:rPr>
      </w:pPr>
      <w:r>
        <w:rPr>
          <w:rFonts w:ascii="Times New Roman" w:hAnsi="Times New Roman"/>
          <w:sz w:val="28"/>
          <w:szCs w:val="28"/>
        </w:rPr>
        <w:t>К справке могут быть приложены любые документы, в том числе пояснения служащего (работника).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Справка заполняется с использованием специального программного обеспечения "Справки БК" (далее – СПО "Справки БК"). При печати справки формируются зоны со служебной информацией (штриховые коды и т.п.), нанесение каких-либо пометок на которые не допускается.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СПО "Справки БК" размещено на официальном сайте Президента Российской Федерации (</w:t>
      </w:r>
      <w:hyperlink r:id="rId9">
        <w:r>
          <w:rPr>
            <w:rFonts w:ascii="Times New Roman" w:hAnsi="Times New Roman"/>
            <w:sz w:val="28"/>
            <w:szCs w:val="28"/>
          </w:rPr>
          <w:t>http://www.kremlin.ru/structure/additional/12</w:t>
        </w:r>
      </w:hyperlink>
      <w:r>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0">
        <w:r>
          <w:rPr>
            <w:rFonts w:ascii="Times New Roman" w:hAnsi="Times New Roman"/>
            <w:sz w:val="28"/>
            <w:szCs w:val="28"/>
          </w:rPr>
          <w:t>https://gossluzhba.gov.ru/anticorruption/spravki_bk</w:t>
        </w:r>
      </w:hyperlink>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pPr>
        <w:pStyle w:val="ListParagraph"/>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ListParagraph"/>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ListParagraph"/>
        <w:ind w:left="0" w:firstLine="567"/>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ListParagraph"/>
        <w:ind w:left="0" w:firstLine="567"/>
        <w:rPr>
          <w:rFonts w:ascii="Times New Roman" w:hAnsi="Times New Roman"/>
          <w:sz w:val="28"/>
          <w:szCs w:val="28"/>
        </w:rPr>
      </w:pPr>
      <w:r>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ListParagraph"/>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ListParagraph"/>
        <w:ind w:left="0" w:firstLine="567"/>
        <w:rPr>
          <w:rFonts w:ascii="Times New Roman" w:hAnsi="Times New Roman"/>
          <w:sz w:val="28"/>
          <w:szCs w:val="28"/>
        </w:rPr>
      </w:pPr>
      <w:r>
        <w:rPr>
          <w:rFonts w:ascii="Times New Roman" w:hAnsi="Times New Roman"/>
          <w:sz w:val="28"/>
          <w:szCs w:val="28"/>
        </w:rPr>
        <w:t>Печатать справки рекомендуется только на одной стороне листа.</w:t>
      </w:r>
    </w:p>
    <w:p>
      <w:pPr>
        <w:pStyle w:val="ListParagraph"/>
        <w:tabs>
          <w:tab w:val="clear" w:pos="709"/>
          <w:tab w:val="left" w:pos="851" w:leader="none"/>
        </w:tabs>
        <w:ind w:left="0" w:hanging="0"/>
        <w:jc w:val="center"/>
        <w:rPr>
          <w:rFonts w:ascii="Times New Roman" w:hAnsi="Times New Roman"/>
          <w:b/>
          <w:b/>
          <w:sz w:val="28"/>
          <w:szCs w:val="28"/>
        </w:rPr>
      </w:pPr>
      <w:r>
        <w:rPr>
          <w:rFonts w:ascii="Times New Roman" w:hAnsi="Times New Roman"/>
          <w:b/>
          <w:sz w:val="28"/>
          <w:szCs w:val="28"/>
        </w:rPr>
      </w:r>
    </w:p>
    <w:p>
      <w:pPr>
        <w:pStyle w:val="ListParagraph"/>
        <w:tabs>
          <w:tab w:val="clear" w:pos="709"/>
          <w:tab w:val="left" w:pos="851" w:leader="none"/>
        </w:tabs>
        <w:ind w:left="0" w:hanging="0"/>
        <w:jc w:val="center"/>
        <w:rPr>
          <w:rFonts w:ascii="Times New Roman" w:hAnsi="Times New Roman"/>
          <w:b/>
          <w:b/>
          <w:sz w:val="28"/>
          <w:szCs w:val="28"/>
        </w:rPr>
      </w:pPr>
      <w:r>
        <w:rPr>
          <w:rFonts w:ascii="Times New Roman" w:hAnsi="Times New Roman"/>
          <w:b/>
          <w:sz w:val="28"/>
          <w:szCs w:val="28"/>
        </w:rPr>
        <w:t>ТИТУЛЬНЫЙ ЛИСТ</w:t>
      </w:r>
    </w:p>
    <w:p>
      <w:pPr>
        <w:pStyle w:val="ListParagraph"/>
        <w:tabs>
          <w:tab w:val="clear" w:pos="709"/>
          <w:tab w:val="left" w:pos="851" w:leader="none"/>
        </w:tabs>
        <w:ind w:left="0"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pPr>
        <w:pStyle w:val="Normal"/>
        <w:tabs>
          <w:tab w:val="clear" w:pos="709"/>
          <w:tab w:val="left" w:pos="567" w:leader="none"/>
        </w:tabs>
        <w:ind w:firstLine="567"/>
        <w:rPr>
          <w:rFonts w:ascii="Times New Roman" w:hAnsi="Times New Roman" w:cs="Courier New"/>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w:t>
      </w:r>
      <w:r>
        <w:rPr>
          <w:rFonts w:cs="Courier New" w:ascii="Times New Roman" w:hAnsi="Times New Roman"/>
          <w:sz w:val="28"/>
          <w:szCs w:val="28"/>
        </w:rPr>
        <w:t>его супруги и несовершеннолетнего ребенка</w:t>
      </w:r>
      <w:r>
        <w:rPr>
          <w:rFonts w:ascii="Times New Roman" w:hAnsi="Times New Roman"/>
          <w:sz w:val="28"/>
          <w:szCs w:val="28"/>
        </w:rPr>
        <w:t xml:space="preserve"> </w:t>
      </w:r>
      <w:r>
        <w:rPr>
          <w:rFonts w:ascii="Times New Roman" w:hAnsi="Times New Roman"/>
          <w:bCs/>
          <w:sz w:val="28"/>
          <w:szCs w:val="28"/>
        </w:rPr>
        <w:t>указываются (в именительном падеж</w:t>
      </w:r>
      <w:r>
        <w:rPr>
          <w:rFonts w:cs="Courier New" w:ascii="Times New Roman" w:hAnsi="Times New Roman"/>
          <w:color w:val="1F497D"/>
          <w:sz w:val="28"/>
          <w:szCs w:val="28"/>
        </w:rPr>
        <w:t>е</w:t>
      </w:r>
      <w:r>
        <w:rPr>
          <w:rFonts w:ascii="Times New Roman" w:hAnsi="Times New Roman"/>
          <w:bCs/>
          <w:sz w:val="28"/>
          <w:szCs w:val="28"/>
        </w:rPr>
        <w:t xml:space="preserve">) </w:t>
      </w:r>
      <w:r>
        <w:rPr>
          <w:rStyle w:val="Style16"/>
          <w:rFonts w:cs="Times New Roman" w:ascii="Times New Roman" w:hAnsi="Times New Roman"/>
          <w:sz w:val="28"/>
          <w:szCs w:val="28"/>
        </w:rPr>
        <w:t>полностью, без</w:t>
      </w:r>
      <w:r>
        <w:rPr>
          <w:rStyle w:val="Style16"/>
          <w:rFonts w:cs="Times New Roman"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Pr>
          <w:rFonts w:cs="Courier New" w:ascii="Times New Roman" w:hAnsi="Times New Roman"/>
          <w:sz w:val="28"/>
          <w:szCs w:val="28"/>
        </w:rPr>
        <w:t>удостоверяющего личность документа указываются по состоянию на дату представления справки)</w:t>
      </w:r>
      <w:r>
        <w:rPr>
          <w:rStyle w:val="Style16"/>
          <w:rFonts w:cs="Times New Roman" w:ascii="Times New Roman" w:hAnsi="Times New Roman"/>
          <w:color w:val="000000"/>
          <w:sz w:val="28"/>
          <w:szCs w:val="28"/>
        </w:rPr>
        <w:t xml:space="preserve">. </w:t>
      </w:r>
      <w:r>
        <w:rPr>
          <w:rFonts w:cs="Courier New"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Style16"/>
          <w:rFonts w:cs="Times New Roman" w:ascii="Times New Roman" w:hAnsi="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ConsPlusNonformat"/>
        <w:tabs>
          <w:tab w:val="clear" w:pos="709"/>
          <w:tab w:val="left" w:pos="567" w:leader="none"/>
        </w:tabs>
        <w:ind w:firstLine="567"/>
        <w:rPr>
          <w:rStyle w:val="Style16"/>
          <w:rFonts w:ascii="Times New Roman" w:hAnsi="Times New Roman" w:cs="Times New Roman"/>
          <w:color w:val="000000"/>
          <w:sz w:val="28"/>
          <w:szCs w:val="28"/>
        </w:rPr>
      </w:pPr>
      <w:r>
        <w:rPr>
          <w:rStyle w:val="Style16"/>
          <w:rFonts w:cs="Times New Roman" w:ascii="Times New Roman" w:hAnsi="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ascii="Times New Roman" w:hAnsi="Times New Roman"/>
          <w:sz w:val="28"/>
          <w:szCs w:val="28"/>
        </w:rPr>
        <w:t>(с 1 января по 1 (30) апреля года, следующего за отчетным)</w:t>
      </w:r>
      <w:r>
        <w:rPr>
          <w:rStyle w:val="Style16"/>
          <w:rFonts w:cs="Times New Roman" w:ascii="Times New Roman" w:hAnsi="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ConsPlusNonformat"/>
        <w:tabs>
          <w:tab w:val="clear" w:pos="709"/>
          <w:tab w:val="left" w:pos="567" w:leader="none"/>
        </w:tabs>
        <w:ind w:firstLine="567"/>
        <w:rPr>
          <w:rStyle w:val="Style16"/>
          <w:rFonts w:ascii="Times New Roman" w:hAnsi="Times New Roman" w:cs="Times New Roman"/>
          <w:sz w:val="28"/>
          <w:szCs w:val="28"/>
        </w:rPr>
      </w:pPr>
      <w:r>
        <w:rPr>
          <w:rStyle w:val="Style16"/>
          <w:rFonts w:cs="Times New Roman" w:ascii="Times New Roman" w:hAnsi="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ascii="Times New Roman" w:hAnsi="Times New Roman"/>
          <w:sz w:val="28"/>
          <w:szCs w:val="28"/>
        </w:rPr>
        <w:t>или "находится на домашнем воспитании".</w:t>
      </w:r>
    </w:p>
    <w:p>
      <w:pPr>
        <w:pStyle w:val="ConsPlusNonformat"/>
        <w:tabs>
          <w:tab w:val="clear" w:pos="709"/>
          <w:tab w:val="left" w:pos="567" w:leader="none"/>
        </w:tabs>
        <w:ind w:firstLine="567"/>
        <w:rPr>
          <w:rStyle w:val="Style16"/>
          <w:rFonts w:ascii="Times New Roman" w:hAnsi="Times New Roman" w:cs="Times New Roman"/>
          <w:sz w:val="28"/>
          <w:szCs w:val="28"/>
        </w:rPr>
      </w:pPr>
      <w:r>
        <w:rPr>
          <w:rStyle w:val="Style16"/>
          <w:rFonts w:cs="Times New Roman" w:ascii="Times New Roman" w:hAnsi="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Pr>
          <w:rFonts w:ascii="Times New Roman" w:hAnsi="Times New Roman"/>
          <w:sz w:val="28"/>
          <w:szCs w:val="28"/>
        </w:rPr>
        <w:t xml:space="preserve"> или "домохозяйка" ("домохозяин")</w:t>
      </w:r>
      <w:r>
        <w:rPr>
          <w:rStyle w:val="Style16"/>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sz w:val="28"/>
          <w:szCs w:val="28"/>
        </w:rPr>
      </w:pPr>
      <w:r>
        <w:rPr>
          <w:rStyle w:val="Style16"/>
          <w:rFonts w:cs="Times New Roman" w:ascii="Times New Roman" w:hAnsi="Times New Roman"/>
          <w:sz w:val="28"/>
          <w:szCs w:val="28"/>
        </w:rPr>
        <w:t xml:space="preserve">Лицу, осуществляющему уход за нетрудоспособными гражданами, в рассматриваемой графе рекомендуется указывать </w:t>
      </w:r>
      <w:r>
        <w:rPr>
          <w:rFonts w:ascii="Times New Roman" w:hAnsi="Times New Roman"/>
          <w:sz w:val="28"/>
          <w:szCs w:val="28"/>
        </w:rPr>
        <w:t>"</w:t>
      </w:r>
      <w:r>
        <w:rPr>
          <w:rStyle w:val="Style16"/>
          <w:rFonts w:cs="Times New Roman" w:ascii="Times New Roman" w:hAnsi="Times New Roman"/>
          <w:sz w:val="28"/>
          <w:szCs w:val="28"/>
        </w:rPr>
        <w:t>осуществляющий уход за нетрудоспособным гражданином</w:t>
      </w:r>
      <w:r>
        <w:rPr>
          <w:rFonts w:ascii="Times New Roman" w:hAnsi="Times New Roman"/>
          <w:sz w:val="28"/>
          <w:szCs w:val="28"/>
        </w:rPr>
        <w:t>".</w:t>
      </w:r>
    </w:p>
    <w:p>
      <w:pPr>
        <w:pStyle w:val="ConsPlusNonformat"/>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Представление депутатом представительного органа сельского поселения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w:t>
      </w:r>
      <w:r>
        <w:rPr>
          <w:rFonts w:cs="Times New Roman" w:ascii="Times New Roman" w:hAnsi="Times New Roman"/>
          <w:sz w:val="28"/>
          <w:szCs w:val="28"/>
        </w:rPr>
        <w:t>"</w:t>
      </w:r>
      <w:r>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cs="Times New Roman" w:ascii="Times New Roman" w:hAnsi="Times New Roman"/>
          <w:sz w:val="28"/>
          <w:szCs w:val="28"/>
        </w:rPr>
        <w:t>"</w:t>
      </w:r>
      <w:r>
        <w:rPr>
          <w:rFonts w:ascii="Times New Roman" w:hAnsi="Times New Roman"/>
          <w:sz w:val="28"/>
          <w:szCs w:val="28"/>
        </w:rPr>
        <w:t>;</w:t>
      </w:r>
    </w:p>
    <w:p>
      <w:pPr>
        <w:pStyle w:val="ConsPlusNonformat"/>
        <w:tabs>
          <w:tab w:val="clear" w:pos="709"/>
          <w:tab w:val="left" w:pos="567" w:leader="none"/>
        </w:tabs>
        <w:ind w:firstLine="567"/>
        <w:rPr>
          <w:rFonts w:ascii="Times New Roman" w:hAnsi="Times New Roman"/>
          <w:sz w:val="28"/>
          <w:szCs w:val="28"/>
        </w:rPr>
      </w:pPr>
      <w:r>
        <w:rPr>
          <w:rStyle w:val="Style16"/>
          <w:rFonts w:ascii="Times New Roman" w:hAnsi="Times New Roman"/>
          <w:sz w:val="28"/>
          <w:szCs w:val="28"/>
        </w:rPr>
        <w:t>5)</w:t>
      </w:r>
      <w:r>
        <w:rPr>
          <w:rStyle w:val="Style16"/>
          <w:rFonts w:cs="Times New Roman" w:ascii="Times New Roman" w:hAnsi="Times New Roman"/>
          <w:sz w:val="28"/>
          <w:szCs w:val="28"/>
        </w:rPr>
        <w:t xml:space="preserve"> при наличии на отчетную дату нескольких мест работы на титульном листе справки </w:t>
      </w:r>
      <w:r>
        <w:rPr>
          <w:rFonts w:ascii="Times New Roman" w:hAnsi="Times New Roman"/>
          <w:sz w:val="28"/>
          <w:szCs w:val="28"/>
        </w:rPr>
        <w:t>обязательно</w:t>
      </w:r>
      <w:r>
        <w:rPr>
          <w:rStyle w:val="Style16"/>
          <w:rFonts w:cs="Times New Roman" w:ascii="Times New Roman" w:hAnsi="Times New Roman"/>
          <w:sz w:val="28"/>
          <w:szCs w:val="28"/>
        </w:rPr>
        <w:t xml:space="preserve"> указывается основное место работы, т.е. </w:t>
      </w:r>
      <w:r>
        <w:rPr>
          <w:rFonts w:cs="Times New Roman" w:ascii="Times New Roman" w:hAnsi="Times New Roman"/>
          <w:sz w:val="28"/>
          <w:szCs w:val="28"/>
        </w:rPr>
        <w:t xml:space="preserve">организация, в которой находится трудовая книжка. </w:t>
      </w:r>
      <w:r>
        <w:rPr>
          <w:rFonts w:ascii="Times New Roman" w:hAnsi="Times New Roman"/>
          <w:sz w:val="28"/>
          <w:szCs w:val="28"/>
        </w:rPr>
        <w:t>При этом рекомендуется указать и иные места работы.</w:t>
      </w:r>
    </w:p>
    <w:p>
      <w:pPr>
        <w:pStyle w:val="ConsPlusNonformat"/>
        <w:tabs>
          <w:tab w:val="clear" w:pos="709"/>
          <w:tab w:val="left" w:pos="567" w:leader="none"/>
        </w:tabs>
        <w:ind w:firstLine="567"/>
        <w:rPr>
          <w:rFonts w:ascii="Times New Roman" w:hAnsi="Times New Roman"/>
          <w:sz w:val="28"/>
          <w:szCs w:val="28"/>
        </w:rPr>
      </w:pPr>
      <w:r>
        <w:rPr>
          <w:rFonts w:ascii="Times New Roman" w:hAnsi="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ConsPlusNonformat"/>
        <w:tabs>
          <w:tab w:val="clear" w:pos="709"/>
          <w:tab w:val="left" w:pos="567" w:leader="none"/>
        </w:tabs>
        <w:ind w:firstLine="567"/>
        <w:rPr>
          <w:rFonts w:ascii="Times New Roman" w:hAnsi="Times New Roman" w:cs="Times New Roman"/>
          <w:sz w:val="28"/>
          <w:szCs w:val="28"/>
        </w:rPr>
      </w:pPr>
      <w:r>
        <w:rPr>
          <w:rStyle w:val="Style16"/>
          <w:rFonts w:cs="Times New Roman" w:ascii="Times New Roman" w:hAnsi="Times New Roman"/>
          <w:color w:val="000000"/>
          <w:sz w:val="28"/>
          <w:szCs w:val="28"/>
        </w:rPr>
        <w:t>6) а</w:t>
      </w:r>
      <w:r>
        <w:rPr>
          <w:rFonts w:cs="Times New Roman" w:ascii="Times New Roman" w:hAnsi="Times New Roman"/>
          <w:bCs/>
          <w:sz w:val="28"/>
          <w:szCs w:val="28"/>
        </w:rPr>
        <w:t>дрес места регистрации у</w:t>
      </w:r>
      <w:r>
        <w:rPr>
          <w:rFonts w:cs="Times New Roman" w:ascii="Times New Roman" w:hAnsi="Times New Roman"/>
          <w:sz w:val="28"/>
          <w:szCs w:val="28"/>
        </w:rPr>
        <w:t xml:space="preserve">казывается </w:t>
      </w:r>
      <w:r>
        <w:rPr>
          <w:rStyle w:val="Style16"/>
          <w:rFonts w:cs="Times New Roman" w:ascii="Times New Roman" w:hAnsi="Times New Roman"/>
          <w:sz w:val="28"/>
          <w:szCs w:val="28"/>
        </w:rPr>
        <w:t>по состоянию на дату представления справки</w:t>
      </w:r>
      <w:r>
        <w:rPr>
          <w:rStyle w:val="Style16"/>
          <w:rFonts w:cs="Times New Roman" w:ascii="Times New Roman" w:hAnsi="Times New Roman"/>
          <w:color w:val="000000"/>
          <w:sz w:val="28"/>
          <w:szCs w:val="28"/>
        </w:rPr>
        <w:t xml:space="preserve"> </w:t>
      </w:r>
      <w:r>
        <w:rPr>
          <w:rFonts w:cs="Times New Roman" w:ascii="Times New Roman" w:hAnsi="Times New Roman"/>
          <w:sz w:val="28"/>
          <w:szCs w:val="28"/>
        </w:rPr>
        <w:t>на основании записи в паспорте</w:t>
      </w:r>
      <w:r>
        <w:rPr>
          <w:rStyle w:val="Style16"/>
          <w:rFonts w:cs="Times New Roman" w:ascii="Times New Roman" w:hAnsi="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cs="Times New Roman" w:ascii="Times New Roman" w:hAnsi="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pPr>
        <w:pStyle w:val="Normal"/>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b/>
          <w:sz w:val="28"/>
          <w:szCs w:val="28"/>
        </w:rPr>
      </w:pPr>
      <w:r>
        <w:rPr>
          <w:rFonts w:ascii="Times New Roman" w:hAnsi="Times New Roman"/>
          <w:b/>
          <w:sz w:val="28"/>
          <w:szCs w:val="28"/>
        </w:rPr>
        <w:t>РАЗДЕЛ 1. СВЕДЕНИЯ О ДОХОДАХ</w:t>
      </w:r>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ListParagraph"/>
        <w:tabs>
          <w:tab w:val="clear" w:pos="709"/>
          <w:tab w:val="left" w:pos="1134" w:leader="none"/>
        </w:tabs>
        <w:ind w:left="0" w:firstLine="567"/>
        <w:rPr>
          <w:rFonts w:ascii="Times New Roman" w:hAnsi="Times New Roman"/>
          <w:b/>
          <w:b/>
          <w:sz w:val="28"/>
          <w:szCs w:val="28"/>
        </w:rPr>
      </w:pPr>
      <w:r>
        <w:rPr>
          <w:rFonts w:ascii="Times New Roman" w:hAnsi="Times New Roman"/>
          <w:b/>
          <w:sz w:val="28"/>
          <w:szCs w:val="28"/>
        </w:rPr>
        <w:t>Доход по основному месту работы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2-НДФЛ, выдаваемой по месту службы (работы) (графа "Общая сумма дохода"). Если по основному месту работы получен доход, который не включен в справку по форме 2-НДФЛ, он подлежит указанию в иных доходах. </w:t>
      </w:r>
    </w:p>
    <w:p>
      <w:pPr>
        <w:pStyle w:val="Normal"/>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pPr>
        <w:pStyle w:val="ListParagraph"/>
        <w:ind w:left="0" w:firstLine="567"/>
        <w:rPr>
          <w:rFonts w:ascii="Times New Roman" w:hAnsi="Times New Roman"/>
          <w:b/>
          <w:b/>
          <w:sz w:val="28"/>
          <w:szCs w:val="28"/>
        </w:rPr>
      </w:pPr>
      <w:r>
        <w:rPr>
          <w:rFonts w:ascii="Times New Roman" w:hAnsi="Times New Roman"/>
          <w:b/>
          <w:sz w:val="28"/>
          <w:szCs w:val="28"/>
        </w:rPr>
        <w:t>Особенности заполнения данного раздела отдельными категориями лиц</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Normal"/>
        <w:ind w:firstLine="567"/>
        <w:rPr>
          <w:rFonts w:ascii="Times New Roman" w:hAnsi="Times New Roman"/>
          <w:sz w:val="28"/>
          <w:szCs w:val="28"/>
        </w:rPr>
      </w:pPr>
      <w:r>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Normal"/>
        <w:ind w:firstLine="567"/>
        <w:rPr>
          <w:rFonts w:ascii="Times New Roman" w:hAnsi="Times New Roman"/>
          <w:sz w:val="28"/>
          <w:szCs w:val="28"/>
        </w:rPr>
      </w:pPr>
      <w:r>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Normal"/>
        <w:ind w:firstLine="567"/>
        <w:rPr>
          <w:rFonts w:ascii="Times New Roman" w:hAnsi="Times New Roman"/>
          <w:sz w:val="28"/>
          <w:szCs w:val="28"/>
        </w:rPr>
      </w:pPr>
      <w:r>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получен в том числе с использованием мобильного приложения "Мой налог".</w:t>
      </w:r>
    </w:p>
    <w:p>
      <w:pPr>
        <w:pStyle w:val="ListParagraph"/>
        <w:tabs>
          <w:tab w:val="clear" w:pos="709"/>
          <w:tab w:val="left" w:pos="1276" w:leader="none"/>
        </w:tabs>
        <w:ind w:left="0" w:firstLine="567"/>
        <w:rPr>
          <w:rFonts w:ascii="Times New Roman" w:hAnsi="Times New Roman"/>
          <w:b/>
          <w:b/>
          <w:sz w:val="28"/>
          <w:szCs w:val="28"/>
        </w:rPr>
      </w:pPr>
      <w:r>
        <w:rPr>
          <w:rFonts w:ascii="Times New Roman" w:hAnsi="Times New Roman"/>
          <w:b/>
          <w:sz w:val="28"/>
          <w:szCs w:val="28"/>
        </w:rPr>
        <w:t>Доход от педагогической и научной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pPr>
        <w:pStyle w:val="ListParagraph"/>
        <w:ind w:left="0" w:firstLine="567"/>
        <w:rPr>
          <w:rFonts w:ascii="Times New Roman" w:hAnsi="Times New Roman"/>
          <w:b/>
          <w:b/>
          <w:sz w:val="28"/>
          <w:szCs w:val="28"/>
        </w:rPr>
      </w:pPr>
      <w:r>
        <w:rPr>
          <w:rFonts w:ascii="Times New Roman" w:hAnsi="Times New Roman"/>
          <w:b/>
          <w:sz w:val="28"/>
          <w:szCs w:val="28"/>
        </w:rPr>
        <w:t>Доход от иной творческой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ilvl w:val="0"/>
          <w:numId w:val="1"/>
        </w:numPr>
        <w:ind w:left="0" w:firstLine="567"/>
        <w:rPr>
          <w:color w:val="auto"/>
          <w:sz w:val="28"/>
          <w:szCs w:val="28"/>
        </w:rPr>
      </w:pPr>
      <w:r>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Normal"/>
        <w:tabs>
          <w:tab w:val="clear" w:pos="709"/>
          <w:tab w:val="left" w:pos="1134" w:leader="none"/>
        </w:tabs>
        <w:ind w:firstLine="567"/>
        <w:rPr>
          <w:rFonts w:ascii="Times New Roman" w:hAnsi="Times New Roman"/>
          <w:b/>
          <w:b/>
          <w:sz w:val="28"/>
          <w:szCs w:val="28"/>
        </w:rPr>
      </w:pPr>
      <w:r>
        <w:rPr>
          <w:rFonts w:ascii="Times New Roman" w:hAnsi="Times New Roman"/>
          <w:b/>
          <w:sz w:val="28"/>
          <w:szCs w:val="28"/>
        </w:rPr>
        <w:t>Доход от вкладов в банках и иных кредитных организациях</w:t>
      </w:r>
    </w:p>
    <w:p>
      <w:pPr>
        <w:pStyle w:val="ListParagraph"/>
        <w:numPr>
          <w:ilvl w:val="0"/>
          <w:numId w:val="1"/>
        </w:numPr>
        <w:ind w:left="0" w:firstLine="567"/>
        <w:rPr>
          <w:rFonts w:ascii="Times New Roman" w:hAnsi="Times New Roman"/>
          <w:sz w:val="36"/>
          <w:szCs w:val="28"/>
        </w:rPr>
      </w:pPr>
      <w:r>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вкладов указываются в разделе 4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1">
        <w:r>
          <w:rPr>
            <w:rFonts w:ascii="Times New Roman" w:hAnsi="Times New Roman"/>
            <w:sz w:val="28"/>
            <w:szCs w:val="28"/>
          </w:rPr>
          <w:t>https://www.cbr.ru/currency_base/daily/</w:t>
        </w:r>
      </w:hyperlink>
      <w:r>
        <w:rPr>
          <w:rFonts w:ascii="Times New Roman" w:hAnsi="Times New Roman"/>
          <w:sz w:val="28"/>
          <w:szCs w:val="28"/>
        </w:rPr>
        <w:t xml:space="preserve">. </w:t>
      </w:r>
    </w:p>
    <w:p>
      <w:pPr>
        <w:pStyle w:val="Normal"/>
        <w:ind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ListParagraph"/>
        <w:tabs>
          <w:tab w:val="clear" w:pos="709"/>
          <w:tab w:val="left" w:pos="1276" w:leader="none"/>
        </w:tabs>
        <w:ind w:left="0" w:firstLine="567"/>
        <w:rPr>
          <w:rFonts w:ascii="Times New Roman" w:hAnsi="Times New Roman"/>
          <w:b/>
          <w:b/>
          <w:sz w:val="28"/>
          <w:szCs w:val="28"/>
        </w:rPr>
      </w:pPr>
      <w:r>
        <w:rPr>
          <w:rFonts w:ascii="Times New Roman" w:hAnsi="Times New Roman"/>
          <w:b/>
          <w:sz w:val="28"/>
          <w:szCs w:val="28"/>
        </w:rPr>
        <w:t>Доход от ценных бумаг и долей участия в коммерческих организациях</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ListParagraph"/>
        <w:ind w:left="0" w:firstLine="567"/>
        <w:rPr>
          <w:rFonts w:ascii="Times New Roman" w:hAnsi="Times New Roman"/>
          <w:sz w:val="28"/>
          <w:szCs w:val="28"/>
        </w:rPr>
      </w:pPr>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ListParagraph"/>
        <w:ind w:left="0" w:firstLine="567"/>
        <w:rPr>
          <w:rFonts w:ascii="Times New Roman" w:hAnsi="Times New Roman"/>
          <w:sz w:val="28"/>
          <w:szCs w:val="28"/>
        </w:rPr>
      </w:pPr>
      <w:r>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3)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shd w:fill="FFFFFF" w:val="clear"/>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ListParagraph"/>
        <w:tabs>
          <w:tab w:val="clear" w:pos="709"/>
          <w:tab w:val="left" w:pos="1276" w:leader="none"/>
        </w:tabs>
        <w:ind w:left="0" w:firstLine="567"/>
        <w:rPr>
          <w:rFonts w:ascii="Times New Roman" w:hAnsi="Times New Roman"/>
          <w:b/>
          <w:b/>
          <w:sz w:val="28"/>
          <w:szCs w:val="28"/>
        </w:rPr>
      </w:pPr>
      <w:r>
        <w:rPr>
          <w:rFonts w:ascii="Times New Roman" w:hAnsi="Times New Roman"/>
          <w:b/>
          <w:sz w:val="28"/>
          <w:szCs w:val="28"/>
        </w:rPr>
        <w:t>Иные доходы</w:t>
      </w:r>
    </w:p>
    <w:p>
      <w:pPr>
        <w:pStyle w:val="Style25"/>
        <w:numPr>
          <w:ilvl w:val="0"/>
          <w:numId w:val="1"/>
        </w:numPr>
        <w:shd w:val="clear" w:color="auto" w:fill="auto"/>
        <w:tabs>
          <w:tab w:val="clear" w:pos="709"/>
          <w:tab w:val="left" w:pos="142" w:leader="none"/>
        </w:tabs>
        <w:spacing w:lineRule="auto" w:line="240" w:before="0" w:after="0"/>
        <w:ind w:left="0" w:firstLine="567"/>
        <w:rPr>
          <w:rStyle w:val="Style16"/>
          <w:rFonts w:ascii="Times New Roman" w:hAnsi="Times New Roman" w:cs="Times New Roman"/>
          <w:color w:val="000000"/>
          <w:sz w:val="28"/>
          <w:szCs w:val="28"/>
        </w:rPr>
      </w:pPr>
      <w:r>
        <w:rPr>
          <w:rStyle w:val="Style16"/>
          <w:rFonts w:cs="Times New Roman" w:ascii="Times New Roman" w:hAnsi="Times New Roman"/>
          <w:color w:val="000000"/>
          <w:sz w:val="28"/>
          <w:szCs w:val="28"/>
        </w:rPr>
        <w:t xml:space="preserve">В данной строке указываются доходы, которые не были отражены в строках 1-5 справки. </w:t>
      </w:r>
    </w:p>
    <w:p>
      <w:pPr>
        <w:pStyle w:val="Style25"/>
        <w:shd w:val="clear" w:color="auto" w:fill="auto"/>
        <w:tabs>
          <w:tab w:val="clear" w:pos="709"/>
          <w:tab w:val="left" w:pos="142" w:leader="none"/>
        </w:tabs>
        <w:spacing w:lineRule="auto" w:line="240" w:before="0" w:after="0"/>
        <w:ind w:firstLine="567"/>
        <w:rPr>
          <w:rStyle w:val="Style16"/>
          <w:rFonts w:ascii="Times New Roman" w:hAnsi="Times New Roman" w:cs="Times New Roman"/>
          <w:sz w:val="28"/>
          <w:szCs w:val="28"/>
        </w:rPr>
      </w:pPr>
      <w:r>
        <w:rPr>
          <w:rStyle w:val="Style16"/>
          <w:rFonts w:cs="Times New Roman" w:ascii="Times New Roman" w:hAnsi="Times New Roman"/>
          <w:sz w:val="28"/>
          <w:szCs w:val="28"/>
        </w:rPr>
        <w:t xml:space="preserve">Так, например, в строке иные доходы могут быть указаны: </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Style16"/>
          <w:rFonts w:ascii="Times New Roman" w:hAnsi="Times New Roman" w:cs="Times New Roman"/>
          <w:sz w:val="28"/>
          <w:szCs w:val="28"/>
        </w:rPr>
      </w:pPr>
      <w:r>
        <w:rPr>
          <w:rStyle w:val="Style16"/>
          <w:rFonts w:cs="Times New Roman" w:ascii="Times New Roman" w:hAnsi="Times New Roman"/>
          <w:sz w:val="28"/>
          <w:szCs w:val="28"/>
        </w:rPr>
        <w:t xml:space="preserve">государственная и негосударственная пенсии </w:t>
      </w:r>
      <w:r>
        <w:rPr>
          <w:rFonts w:ascii="Times New Roman" w:hAnsi="Times New Roman"/>
          <w:sz w:val="28"/>
          <w:szCs w:val="28"/>
        </w:rPr>
        <w:t>(при этом разные виды пенсий (по возрасту и пенсия военнослужащего) не следует суммировать)</w:t>
      </w:r>
      <w:r>
        <w:rPr>
          <w:rStyle w:val="Style16"/>
          <w:rFonts w:cs="Times New Roman" w:ascii="Times New Roman" w:hAnsi="Times New Roman"/>
          <w:sz w:val="28"/>
          <w:szCs w:val="28"/>
        </w:rPr>
        <w:t>;</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pPr>
        <w:pStyle w:val="Default"/>
        <w:numPr>
          <w:ilvl w:val="0"/>
          <w:numId w:val="2"/>
        </w:numPr>
        <w:tabs>
          <w:tab w:val="clear" w:pos="709"/>
          <w:tab w:val="left" w:pos="142" w:leader="none"/>
          <w:tab w:val="left" w:pos="1134" w:leader="none"/>
        </w:tabs>
        <w:ind w:left="0" w:firstLine="567"/>
        <w:rPr>
          <w:color w:val="auto"/>
          <w:sz w:val="28"/>
          <w:szCs w:val="28"/>
        </w:rPr>
      </w:pPr>
      <w:r>
        <w:rPr>
          <w:rStyle w:val="Style16"/>
          <w:rFonts w:cs="Times New Roman"/>
          <w:sz w:val="28"/>
          <w:szCs w:val="28"/>
        </w:rPr>
        <w:t xml:space="preserve">все виды пособий (пособие </w:t>
      </w:r>
      <w:r>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Style16"/>
          <w:rFonts w:cs="Times New Roman"/>
          <w:sz w:val="28"/>
          <w:szCs w:val="28"/>
        </w:rPr>
        <w:t xml:space="preserve"> и др.</w:t>
      </w:r>
      <w:r>
        <w:rPr>
          <w:color w:val="auto"/>
          <w:sz w:val="28"/>
          <w:szCs w:val="28"/>
        </w:rPr>
        <w:t xml:space="preserve">), если данные выплаты не были включены в справку по форме 2-НДФЛ, выдаваемую по месту службы (работы). </w:t>
      </w:r>
    </w:p>
    <w:p>
      <w:pPr>
        <w:pStyle w:val="Default"/>
        <w:tabs>
          <w:tab w:val="clear" w:pos="709"/>
          <w:tab w:val="left" w:pos="142" w:leader="none"/>
          <w:tab w:val="left" w:pos="1134" w:leader="none"/>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 от 29 декабря 2006 г. № 255-ФЗ </w:t>
      </w:r>
      <w:r>
        <w:rPr>
          <w:sz w:val="28"/>
          <w:szCs w:val="28"/>
        </w:rPr>
        <w:t>"</w:t>
      </w:r>
      <w:r>
        <w:rPr>
          <w:color w:val="auto"/>
          <w:sz w:val="28"/>
          <w:szCs w:val="28"/>
        </w:rPr>
        <w:t>Об обязательном социальном страховании на случай временной нетрудоспособности и в связи с материнством</w:t>
      </w:r>
      <w:r>
        <w:rPr>
          <w:sz w:val="28"/>
          <w:szCs w:val="28"/>
        </w:rPr>
        <w:t>"</w:t>
      </w:r>
      <w:r>
        <w:rPr>
          <w:color w:val="auto"/>
          <w:sz w:val="28"/>
          <w:szCs w:val="28"/>
        </w:rPr>
        <w:t>).</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Style16"/>
          <w:rFonts w:ascii="Times New Roman" w:hAnsi="Times New Roman" w:cs="Times New Roman"/>
          <w:color w:val="000000"/>
          <w:sz w:val="28"/>
          <w:szCs w:val="28"/>
        </w:rPr>
      </w:pPr>
      <w:r>
        <w:rPr>
          <w:rFonts w:cs="Times New Roman" w:ascii="Times New Roman" w:hAnsi="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Style25"/>
        <w:numPr>
          <w:ilvl w:val="0"/>
          <w:numId w:val="2"/>
        </w:numPr>
        <w:shd w:val="clear" w:color="auto" w:fill="auto"/>
        <w:tabs>
          <w:tab w:val="clear" w:pos="709"/>
          <w:tab w:val="left" w:pos="142" w:leader="none"/>
        </w:tabs>
        <w:spacing w:lineRule="auto" w:line="240" w:before="0" w:after="0"/>
        <w:ind w:left="142" w:firstLine="425"/>
        <w:rPr>
          <w:rStyle w:val="Style16"/>
          <w:rFonts w:ascii="Times New Roman" w:hAnsi="Times New Roman" w:cs="Times New Roman"/>
          <w:color w:val="000000"/>
          <w:sz w:val="28"/>
          <w:szCs w:val="28"/>
        </w:rPr>
      </w:pPr>
      <w:r>
        <w:rPr>
          <w:rStyle w:val="Style16"/>
          <w:rFonts w:cs="Times New Roman" w:ascii="Times New Roman" w:hAnsi="Times New Roman"/>
          <w:color w:val="000000"/>
          <w:sz w:val="28"/>
          <w:szCs w:val="28"/>
        </w:rPr>
        <w:t>суммы, причитающиеся ребенку в качестве алиментов (за исключением алиментов, выплачиваемых в браке, кроме случая, предусмотренного пунктом 30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Style16"/>
          <w:rFonts w:ascii="Times New Roman" w:hAnsi="Times New Roman" w:cs="Times New Roman"/>
          <w:color w:val="000000"/>
          <w:sz w:val="28"/>
          <w:szCs w:val="28"/>
        </w:rPr>
      </w:pPr>
      <w:r>
        <w:rPr>
          <w:rStyle w:val="Style16"/>
          <w:rFonts w:cs="Times New Roman" w:ascii="Times New Roman" w:hAnsi="Times New Roman"/>
          <w:color w:val="000000"/>
          <w:sz w:val="28"/>
          <w:szCs w:val="28"/>
        </w:rPr>
        <w:t>стипендия;</w:t>
      </w:r>
    </w:p>
    <w:p>
      <w:pPr>
        <w:pStyle w:val="ListParagraph"/>
        <w:numPr>
          <w:ilvl w:val="0"/>
          <w:numId w:val="2"/>
        </w:numPr>
        <w:tabs>
          <w:tab w:val="clear" w:pos="709"/>
          <w:tab w:val="left" w:pos="142" w:leader="none"/>
          <w:tab w:val="left" w:pos="1134" w:leader="none"/>
        </w:tabs>
        <w:ind w:left="0" w:firstLine="567"/>
        <w:rPr>
          <w:rFonts w:ascii="Times New Roman" w:hAnsi="Times New Roman"/>
          <w:sz w:val="28"/>
          <w:szCs w:val="28"/>
        </w:rPr>
      </w:pPr>
      <w:r>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Style16"/>
          <w:rFonts w:ascii="Times New Roman" w:hAnsi="Times New Roman" w:cs="Times New Roman"/>
          <w:sz w:val="28"/>
          <w:szCs w:val="28"/>
        </w:rPr>
      </w:pPr>
      <w:r>
        <w:rPr>
          <w:rStyle w:val="Style16"/>
          <w:rFonts w:cs="Times New Roman" w:ascii="Times New Roman" w:hAnsi="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Style16"/>
          <w:rFonts w:cs="Times New Roman" w:ascii="Times New Roman" w:hAnsi="Times New Roman"/>
          <w:b/>
          <w:color w:val="000000"/>
          <w:sz w:val="28"/>
          <w:szCs w:val="28"/>
        </w:rPr>
        <w:t xml:space="preserve"> </w:t>
      </w:r>
      <w:r>
        <w:rPr>
          <w:rStyle w:val="Style16"/>
          <w:rFonts w:cs="Times New Roman" w:ascii="Times New Roman" w:hAnsi="Times New Roman"/>
          <w:color w:val="000000"/>
          <w:sz w:val="28"/>
          <w:szCs w:val="28"/>
        </w:rPr>
        <w:t xml:space="preserve">или иным родственникам. </w:t>
      </w:r>
    </w:p>
    <w:p>
      <w:pPr>
        <w:pStyle w:val="Style25"/>
        <w:shd w:val="clear" w:color="auto" w:fill="auto"/>
        <w:tabs>
          <w:tab w:val="clear" w:pos="709"/>
          <w:tab w:val="left" w:pos="142" w:leader="none"/>
          <w:tab w:val="left" w:pos="1134" w:leader="none"/>
        </w:tabs>
        <w:spacing w:lineRule="auto" w:line="240" w:before="0" w:after="0"/>
        <w:ind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Style16"/>
          <w:rFonts w:cs="Times New Roman" w:ascii="Times New Roman" w:hAnsi="Times New Roman"/>
          <w:color w:val="000000"/>
          <w:sz w:val="28"/>
          <w:szCs w:val="28"/>
        </w:rPr>
        <w:t>Доход от реализации имущества указывается в полном объеме без вычета "комиссионных" и иных подобных выплат.</w:t>
      </w:r>
    </w:p>
    <w:p>
      <w:pPr>
        <w:pStyle w:val="Style25"/>
        <w:shd w:val="clear" w:color="auto" w:fill="auto"/>
        <w:tabs>
          <w:tab w:val="clear" w:pos="709"/>
          <w:tab w:val="left" w:pos="142" w:leader="none"/>
          <w:tab w:val="left" w:pos="1134" w:leader="none"/>
        </w:tabs>
        <w:spacing w:lineRule="auto" w:line="240" w:before="0" w:after="0"/>
        <w:ind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Style25"/>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Style w:val="Style16"/>
          <w:rFonts w:cs="Times New Roman" w:ascii="Times New Roman" w:hAnsi="Times New Roman"/>
          <w:color w:val="000000"/>
          <w:sz w:val="28"/>
          <w:szCs w:val="28"/>
        </w:rPr>
        <w:t xml:space="preserve">При этом </w:t>
      </w:r>
      <w:r>
        <w:rPr>
          <w:rStyle w:val="Style16"/>
          <w:rFonts w:cs="Times New Roman" w:ascii="Times New Roman" w:hAnsi="Times New Roman"/>
          <w:sz w:val="28"/>
          <w:szCs w:val="28"/>
        </w:rPr>
        <w:t xml:space="preserve">рекомендуется </w:t>
      </w:r>
      <w:r>
        <w:rPr>
          <w:rStyle w:val="Style16"/>
          <w:rFonts w:cs="Times New Roman"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cs="Times New Roman" w:ascii="Times New Roman" w:hAnsi="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pPr>
        <w:pStyle w:val="Style25"/>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pPr>
        <w:pStyle w:val="Style25"/>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Style25"/>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Аналогично в отношении продажи имущества, находящегося в совместной собственности.</w:t>
      </w:r>
    </w:p>
    <w:p>
      <w:pPr>
        <w:pStyle w:val="Style25"/>
        <w:numPr>
          <w:ilvl w:val="0"/>
          <w:numId w:val="2"/>
        </w:numPr>
        <w:shd w:val="clear" w:color="auto" w:fill="auto"/>
        <w:tabs>
          <w:tab w:val="clear" w:pos="709"/>
          <w:tab w:val="left" w:pos="142" w:leader="none"/>
          <w:tab w:val="left" w:pos="710" w:leader="none"/>
        </w:tabs>
        <w:spacing w:lineRule="auto" w:line="240" w:before="0" w:after="0"/>
        <w:ind w:left="0" w:firstLine="567"/>
        <w:rPr>
          <w:rStyle w:val="Style16"/>
          <w:rFonts w:ascii="Times New Roman" w:hAnsi="Times New Roman" w:cs="Times New Roman"/>
          <w:sz w:val="28"/>
          <w:szCs w:val="28"/>
        </w:rPr>
      </w:pPr>
      <w:r>
        <w:rPr>
          <w:rStyle w:val="Style16"/>
          <w:rFonts w:cs="Times New Roman" w:ascii="Times New Roman" w:hAnsi="Times New Roman"/>
          <w:sz w:val="28"/>
          <w:szCs w:val="28"/>
          <w:shd w:fill="auto" w:val="clear"/>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11"/>
          <w:rFonts w:ascii="Times New Roman" w:hAnsi="Times New Roman"/>
          <w:sz w:val="28"/>
          <w:szCs w:val="28"/>
          <w:shd w:fill="FFFFFF" w:val="clear"/>
        </w:rPr>
      </w:pPr>
      <w:r>
        <w:rPr>
          <w:rStyle w:val="Style16"/>
          <w:rFonts w:cs="Times New Roman" w:ascii="Times New Roman" w:hAnsi="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w:t>
      </w:r>
      <w:r>
        <w:rPr>
          <w:rFonts w:ascii="Times New Roman" w:hAnsi="Times New Roman"/>
          <w:sz w:val="28"/>
          <w:szCs w:val="28"/>
        </w:rPr>
        <w:t xml:space="preserve">адрес места нахождения </w:t>
      </w:r>
      <w:r>
        <w:rPr>
          <w:rStyle w:val="11"/>
          <w:rFonts w:ascii="Times New Roman" w:hAnsi="Times New Roman"/>
          <w:color w:val="000000"/>
          <w:sz w:val="28"/>
          <w:szCs w:val="28"/>
        </w:rPr>
        <w:t xml:space="preserve">организации, от которой был получен доход; </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11"/>
          <w:rFonts w:ascii="Times New Roman" w:hAnsi="Times New Roman"/>
          <w:sz w:val="28"/>
          <w:szCs w:val="28"/>
          <w:shd w:fill="FFFFFF" w:val="clear"/>
        </w:rPr>
      </w:pPr>
      <w:r>
        <w:rPr>
          <w:rStyle w:val="Style16"/>
          <w:rFonts w:cs="Times New Roman" w:ascii="Times New Roman" w:hAnsi="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11"/>
          <w:rFonts w:ascii="Times New Roman" w:hAnsi="Times New Roman"/>
          <w:color w:val="000000"/>
          <w:sz w:val="28"/>
          <w:szCs w:val="28"/>
        </w:rPr>
      </w:pPr>
      <w:r>
        <w:rPr>
          <w:rStyle w:val="Style16"/>
          <w:rFonts w:cs="Times New Roman" w:ascii="Times New Roman" w:hAnsi="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w:t>
      </w:r>
      <w:r>
        <w:rPr>
          <w:rFonts w:ascii="Times New Roman" w:hAnsi="Times New Roman"/>
          <w:sz w:val="28"/>
          <w:szCs w:val="28"/>
        </w:rPr>
        <w:t xml:space="preserve">адрес места нахождения </w:t>
      </w:r>
      <w:r>
        <w:rPr>
          <w:rStyle w:val="11"/>
          <w:rFonts w:ascii="Times New Roman" w:hAnsi="Times New Roman"/>
          <w:color w:val="000000"/>
          <w:sz w:val="28"/>
          <w:szCs w:val="28"/>
        </w:rPr>
        <w:t xml:space="preserve">организации, от которой был получен доход; </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eastAsia="Times New Roman" w:cs="Times New Roman" w:ascii="Times New Roman" w:hAnsi="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Style w:val="Style16"/>
          <w:rFonts w:ascii="Times New Roman" w:hAnsi="Times New Roman" w:cs="Times New Roman"/>
          <w:color w:val="000000"/>
          <w:sz w:val="28"/>
          <w:szCs w:val="28"/>
        </w:rPr>
      </w:pPr>
      <w:r>
        <w:rPr>
          <w:rFonts w:eastAsia="Times New Roman" w:cs="Times New Roman" w:ascii="Times New Roman" w:hAnsi="Times New Roman"/>
          <w:sz w:val="28"/>
          <w:szCs w:val="28"/>
          <w:lang w:eastAsia="ru-RU"/>
        </w:rPr>
        <w:t>проценты по долговым обязательствам;</w:t>
      </w:r>
    </w:p>
    <w:p>
      <w:pPr>
        <w:pStyle w:val="Style25"/>
        <w:numPr>
          <w:ilvl w:val="0"/>
          <w:numId w:val="2"/>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денежные средства, полученные в порядке дарения или наследования;</w:t>
      </w:r>
    </w:p>
    <w:p>
      <w:pPr>
        <w:pStyle w:val="Default"/>
        <w:numPr>
          <w:ilvl w:val="0"/>
          <w:numId w:val="2"/>
        </w:numPr>
        <w:tabs>
          <w:tab w:val="clear" w:pos="709"/>
          <w:tab w:val="left" w:pos="142" w:leader="none"/>
          <w:tab w:val="left" w:pos="1134" w:leader="none"/>
          <w:tab w:val="left" w:pos="1560" w:leader="none"/>
        </w:tabs>
        <w:ind w:left="0" w:firstLine="567"/>
        <w:rPr>
          <w:sz w:val="28"/>
          <w:szCs w:val="28"/>
        </w:rPr>
      </w:pPr>
      <w:r>
        <w:rPr>
          <w:sz w:val="28"/>
          <w:szCs w:val="28"/>
        </w:rPr>
        <w:t xml:space="preserve">возмещение вреда, причиненного увечьем или иным повреждением здоровья; </w:t>
      </w:r>
    </w:p>
    <w:p>
      <w:pPr>
        <w:pStyle w:val="Default"/>
        <w:numPr>
          <w:ilvl w:val="0"/>
          <w:numId w:val="2"/>
        </w:numPr>
        <w:tabs>
          <w:tab w:val="clear" w:pos="709"/>
          <w:tab w:val="left" w:pos="142" w:leader="none"/>
          <w:tab w:val="left" w:pos="1134" w:leader="none"/>
          <w:tab w:val="left" w:pos="1560" w:leader="none"/>
        </w:tabs>
        <w:ind w:left="0" w:firstLine="567"/>
        <w:rPr>
          <w:sz w:val="28"/>
          <w:szCs w:val="28"/>
        </w:rPr>
      </w:pPr>
      <w:r>
        <w:rPr>
          <w:sz w:val="28"/>
          <w:szCs w:val="28"/>
        </w:rPr>
        <w:t xml:space="preserve">выплаты, связанные с гибелью (смертью), выплаченные наследникам; </w:t>
      </w:r>
    </w:p>
    <w:p>
      <w:pPr>
        <w:pStyle w:val="ListParagraph"/>
        <w:numPr>
          <w:ilvl w:val="0"/>
          <w:numId w:val="2"/>
        </w:numPr>
        <w:tabs>
          <w:tab w:val="clear" w:pos="709"/>
          <w:tab w:val="left" w:pos="142" w:leader="none"/>
          <w:tab w:val="left" w:pos="1134" w:leader="none"/>
          <w:tab w:val="left" w:pos="1560" w:leader="none"/>
        </w:tabs>
        <w:ind w:left="0" w:firstLine="567"/>
        <w:rPr>
          <w:rFonts w:ascii="Times New Roman" w:hAnsi="Times New Roman"/>
          <w:sz w:val="28"/>
          <w:szCs w:val="28"/>
        </w:rPr>
      </w:pPr>
      <w:r>
        <w:rPr>
          <w:rFonts w:ascii="Times New Roman" w:hAnsi="Times New Roman"/>
          <w:sz w:val="28"/>
          <w:szCs w:val="28"/>
        </w:rPr>
        <w:t>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182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pPr>
        <w:pStyle w:val="Default"/>
        <w:numPr>
          <w:ilvl w:val="0"/>
          <w:numId w:val="2"/>
        </w:numPr>
        <w:tabs>
          <w:tab w:val="clear" w:pos="709"/>
          <w:tab w:val="left" w:pos="142" w:leader="none"/>
          <w:tab w:val="left" w:pos="1134" w:leader="none"/>
          <w:tab w:val="left" w:pos="1560" w:leader="none"/>
        </w:tabs>
        <w:ind w:left="0" w:firstLine="567"/>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 и не отражены в строке "Доход по основному месту работы"; </w:t>
      </w:r>
    </w:p>
    <w:p>
      <w:pPr>
        <w:pStyle w:val="ListParagraph"/>
        <w:numPr>
          <w:ilvl w:val="0"/>
          <w:numId w:val="2"/>
        </w:numPr>
        <w:tabs>
          <w:tab w:val="clear" w:pos="709"/>
          <w:tab w:val="left" w:pos="142" w:leader="none"/>
          <w:tab w:val="left" w:pos="1134" w:leader="none"/>
        </w:tabs>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pPr>
        <w:pStyle w:val="Default"/>
        <w:numPr>
          <w:ilvl w:val="0"/>
          <w:numId w:val="2"/>
        </w:numPr>
        <w:tabs>
          <w:tab w:val="clear" w:pos="709"/>
          <w:tab w:val="left" w:pos="142" w:leader="none"/>
          <w:tab w:val="left" w:pos="1134" w:leader="none"/>
        </w:tabs>
        <w:ind w:left="0" w:firstLine="567"/>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ilvl w:val="0"/>
          <w:numId w:val="2"/>
        </w:numPr>
        <w:tabs>
          <w:tab w:val="clear" w:pos="709"/>
          <w:tab w:val="left" w:pos="142" w:leader="none"/>
          <w:tab w:val="left" w:pos="1134" w:leader="none"/>
        </w:tabs>
        <w:ind w:left="0" w:firstLine="567"/>
        <w:rPr>
          <w:sz w:val="28"/>
          <w:szCs w:val="28"/>
        </w:rPr>
      </w:pPr>
      <w:r>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ListParagraph"/>
        <w:numPr>
          <w:ilvl w:val="0"/>
          <w:numId w:val="2"/>
        </w:numPr>
        <w:ind w:left="0" w:firstLine="567"/>
        <w:rPr>
          <w:rFonts w:ascii="Times New Roman" w:hAnsi="Times New Roman"/>
          <w:sz w:val="28"/>
          <w:szCs w:val="28"/>
          <w:lang w:eastAsia="ru-RU"/>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ListParagraph"/>
        <w:numPr>
          <w:ilvl w:val="0"/>
          <w:numId w:val="2"/>
        </w:numPr>
        <w:tabs>
          <w:tab w:val="clear" w:pos="709"/>
          <w:tab w:val="left" w:pos="1276" w:leader="none"/>
        </w:tabs>
        <w:ind w:left="0" w:firstLine="567"/>
        <w:rPr>
          <w:sz w:val="28"/>
          <w:szCs w:val="28"/>
        </w:rPr>
      </w:pPr>
      <w:r>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Style25"/>
        <w:numPr>
          <w:ilvl w:val="0"/>
          <w:numId w:val="2"/>
        </w:numPr>
        <w:shd w:val="clear" w:color="auto" w:fill="auto"/>
        <w:tabs>
          <w:tab w:val="clear" w:pos="709"/>
          <w:tab w:val="left" w:pos="142" w:leader="none"/>
          <w:tab w:val="left" w:pos="1276" w:leader="none"/>
        </w:tabs>
        <w:spacing w:lineRule="auto" w:line="240" w:before="0" w:after="0"/>
        <w:ind w:left="0" w:firstLine="567"/>
        <w:rPr>
          <w:rStyle w:val="Style16"/>
          <w:rFonts w:ascii="Times New Roman" w:hAnsi="Times New Roman" w:cs="Times New Roman"/>
          <w:color w:val="000000"/>
          <w:sz w:val="28"/>
          <w:szCs w:val="28"/>
        </w:rPr>
      </w:pPr>
      <w:r>
        <w:rPr>
          <w:rStyle w:val="Style16"/>
          <w:rFonts w:cs="Times New Roman" w:ascii="Times New Roman" w:hAnsi="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Style25"/>
        <w:numPr>
          <w:ilvl w:val="0"/>
          <w:numId w:val="2"/>
        </w:numPr>
        <w:shd w:val="clear" w:color="auto" w:fill="auto"/>
        <w:tabs>
          <w:tab w:val="clear" w:pos="709"/>
          <w:tab w:val="left" w:pos="851"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cs="Times New Roman" w:ascii="Times New Roman" w:hAnsi="Times New Roman"/>
          <w:sz w:val="28"/>
          <w:szCs w:val="28"/>
        </w:rPr>
        <w:t>выплаты членам профсоюзных организаций, полученные от данных профсоюзных организаций;</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eastAsia="Times New Roman" w:ascii="Times New Roman" w:hAnsi="Times New Roman"/>
          <w:sz w:val="28"/>
          <w:szCs w:val="28"/>
          <w:lang w:eastAsia="ru-RU"/>
        </w:rPr>
        <w:t>"</w:t>
      </w:r>
      <w:r>
        <w:rPr>
          <w:rFonts w:ascii="Times New Roman" w:hAnsi="Times New Roman"/>
          <w:sz w:val="28"/>
          <w:szCs w:val="28"/>
        </w:rPr>
        <w:t>Доход от педагогической и научной деятельности</w:t>
      </w:r>
      <w:r>
        <w:rPr>
          <w:rFonts w:eastAsia="Times New Roman" w:ascii="Times New Roman" w:hAnsi="Times New Roman"/>
          <w:sz w:val="28"/>
          <w:szCs w:val="28"/>
          <w:lang w:eastAsia="ru-RU"/>
        </w:rPr>
        <w:t>"</w:t>
      </w:r>
      <w:r>
        <w:rPr>
          <w:rFonts w:ascii="Times New Roman" w:hAnsi="Times New Roman"/>
          <w:sz w:val="28"/>
          <w:szCs w:val="28"/>
        </w:rPr>
        <w:t xml:space="preserve"> раздела 1 справки, результаты иной творческой деятельности – в строке </w:t>
      </w:r>
      <w:r>
        <w:rPr>
          <w:rFonts w:eastAsia="Times New Roman" w:ascii="Times New Roman" w:hAnsi="Times New Roman"/>
          <w:sz w:val="28"/>
          <w:szCs w:val="28"/>
          <w:lang w:eastAsia="ru-RU"/>
        </w:rPr>
        <w:t>"</w:t>
      </w:r>
      <w:r>
        <w:rPr>
          <w:rFonts w:ascii="Times New Roman" w:hAnsi="Times New Roman"/>
          <w:sz w:val="28"/>
          <w:szCs w:val="28"/>
        </w:rPr>
        <w:t>Доход от иной творческой деятельности</w:t>
      </w:r>
      <w:r>
        <w:rPr>
          <w:rFonts w:eastAsia="Times New Roman" w:ascii="Times New Roman" w:hAnsi="Times New Roman"/>
          <w:sz w:val="28"/>
          <w:szCs w:val="28"/>
          <w:lang w:eastAsia="ru-RU"/>
        </w:rPr>
        <w:t>"</w:t>
      </w:r>
      <w:r>
        <w:rPr>
          <w:rFonts w:ascii="Times New Roman" w:hAnsi="Times New Roman"/>
          <w:sz w:val="28"/>
          <w:szCs w:val="28"/>
        </w:rPr>
        <w:t xml:space="preserve"> указанного раздела справки;</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 или в соответствии с пунктом 43 настоящих Методических рекомендаций);</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Pr>
          <w:rStyle w:val="Style16"/>
          <w:rFonts w:cs="Times New Roman" w:ascii="Times New Roman" w:hAnsi="Times New Roman"/>
          <w:color w:val="000000"/>
          <w:sz w:val="28"/>
          <w:szCs w:val="28"/>
        </w:rPr>
        <w:t xml:space="preserve"> кроме случая, предусмотренного пунктом 30 Методических рекомендаций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и третьих лиц на невозвратной основе;</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по договорам переуступки прав требования на строящиеся объекты недвижимости;</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ListParagraph"/>
        <w:numPr>
          <w:ilvl w:val="0"/>
          <w:numId w:val="2"/>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иные аналогичные выплаты.</w:t>
      </w:r>
    </w:p>
    <w:p>
      <w:pPr>
        <w:pStyle w:val="ListParagraph"/>
        <w:numPr>
          <w:ilvl w:val="0"/>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единовременная выплата семьям, имеющим детей, в соответствии с Указом Президента Российской Федерации от 2 июля 2021 г. № 396;</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 486;</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pPr>
        <w:pStyle w:val="ListParagraph"/>
        <w:numPr>
          <w:ilvl w:val="1"/>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p>
    <w:p>
      <w:pPr>
        <w:pStyle w:val="ListParagraph"/>
        <w:numPr>
          <w:ilvl w:val="1"/>
          <w:numId w:val="1"/>
        </w:numPr>
        <w:ind w:left="0" w:firstLine="709"/>
        <w:rPr>
          <w:rFonts w:ascii="Times New Roman" w:hAnsi="Times New Roman" w:eastAsia="Times New Roman"/>
          <w:sz w:val="28"/>
          <w:szCs w:val="28"/>
          <w:lang w:eastAsia="ru-RU"/>
        </w:rPr>
      </w:pPr>
      <w:r>
        <w:rPr>
          <w:rFonts w:eastAsia="Times New Roman" w:ascii="Times New Roman" w:hAnsi="Times New Roman"/>
          <w:sz w:val="28"/>
          <w:szCs w:val="28"/>
          <w:lang w:eastAsia="ru-RU"/>
        </w:rPr>
        <w:t>ежемесячное пособие женщине, вставшей на учет в медицинской организации в ранние сроки беременности, и (или) ежемесячное пособие на ребенка в возрасте от 8 до 17 лет (единственному родителю) в соответствии с постановлением Правительства Российской Федерации от 28 июня 2021 г. № 1037.</w:t>
      </w:r>
    </w:p>
    <w:p>
      <w:pPr>
        <w:pStyle w:val="Normal"/>
        <w:rPr>
          <w:rFonts w:ascii="Times New Roman" w:hAnsi="Times New Roman" w:eastAsia="Times New Roman"/>
          <w:sz w:val="28"/>
          <w:szCs w:val="28"/>
          <w:lang w:eastAsia="ru-RU"/>
        </w:rPr>
      </w:pPr>
      <w:r>
        <w:rPr>
          <w:rFonts w:eastAsia="Times New Roman" w:ascii="Times New Roman" w:hAnsi="Times New Roman"/>
          <w:sz w:val="28"/>
          <w:szCs w:val="28"/>
          <w:lang w:eastAsia="ru-RU"/>
        </w:rPr>
        <w:t>Отражению также подлежат меры аналогичные поддержки, предусмотренные нормативными правовыми актами субъектов Российской Федерации и муниципальными правовыми актами.</w:t>
      </w:r>
    </w:p>
    <w:p>
      <w:pPr>
        <w:pStyle w:val="ListParagraph"/>
        <w:numPr>
          <w:ilvl w:val="0"/>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pPr>
        <w:pStyle w:val="ListParagraph"/>
        <w:numPr>
          <w:ilvl w:val="0"/>
          <w:numId w:val="1"/>
        </w:numPr>
        <w:ind w:left="0" w:firstLine="567"/>
        <w:rPr>
          <w:rFonts w:ascii="Times New Roman" w:hAnsi="Times New Roman" w:eastAsia="Times New Roman"/>
          <w:sz w:val="28"/>
          <w:szCs w:val="28"/>
          <w:lang w:eastAsia="ru-RU"/>
        </w:rPr>
      </w:pPr>
      <w:r>
        <w:rPr>
          <w:rFonts w:eastAsia="Times New Roman" w:ascii="Times New Roman" w:hAnsi="Times New Roman"/>
          <w:sz w:val="28"/>
          <w:szCs w:val="28"/>
          <w:lang w:eastAsia="ru-RU"/>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p>
    <w:p>
      <w:pPr>
        <w:pStyle w:val="ListParagraph"/>
        <w:numPr>
          <w:ilvl w:val="0"/>
          <w:numId w:val="1"/>
        </w:numPr>
        <w:ind w:left="0" w:firstLine="567"/>
        <w:rPr>
          <w:rFonts w:ascii="Times New Roman" w:hAnsi="Times New Roman"/>
          <w:sz w:val="28"/>
          <w:szCs w:val="28"/>
        </w:rPr>
      </w:pPr>
      <w:r>
        <w:rPr>
          <w:rFonts w:eastAsia="Times New Roman" w:ascii="Times New Roman" w:hAnsi="Times New Roman"/>
          <w:sz w:val="28"/>
          <w:szCs w:val="28"/>
          <w:lang w:eastAsia="ru-RU"/>
        </w:rPr>
        <w:t>С учетом целей антико</w:t>
      </w:r>
      <w:r>
        <w:rPr>
          <w:rFonts w:eastAsia="Times New Roman" w:ascii="Times New Roman" w:hAnsi="Times New Roman"/>
          <w:color w:val="000000"/>
          <w:sz w:val="28"/>
          <w:szCs w:val="28"/>
          <w:lang w:eastAsia="ru-RU"/>
        </w:rPr>
        <w:t>р</w:t>
      </w:r>
      <w:r>
        <w:rPr>
          <w:rFonts w:eastAsia="Times New Roman" w:ascii="Times New Roman" w:hAnsi="Times New Roman"/>
          <w:sz w:val="28"/>
          <w:szCs w:val="28"/>
          <w:lang w:eastAsia="ru-RU"/>
        </w:rPr>
        <w:t>рупционного законодательства в строке 6 "Иные доходы"</w:t>
      </w:r>
      <w:r>
        <w:rPr>
          <w:rFonts w:eastAsia="Times New Roman" w:ascii="Times New Roman" w:hAnsi="Times New Roman"/>
          <w:b/>
          <w:sz w:val="28"/>
          <w:szCs w:val="28"/>
          <w:lang w:eastAsia="ru-RU"/>
        </w:rPr>
        <w:t xml:space="preserve"> не указываются </w:t>
      </w:r>
      <w:r>
        <w:rPr>
          <w:rFonts w:eastAsia="Times New Roman" w:ascii="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pPr>
        <w:pStyle w:val="Normal"/>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pPr>
        <w:pStyle w:val="Normal"/>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Normal"/>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pStyle w:val="Normal"/>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pStyle w:val="Normal"/>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pPr>
        <w:pStyle w:val="Normal"/>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pPr>
        <w:pStyle w:val="Normal"/>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дошкольного образовательного учреждения;</w:t>
      </w:r>
    </w:p>
    <w:p>
      <w:pPr>
        <w:pStyle w:val="Normal"/>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pPr>
        <w:pStyle w:val="Normal"/>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налогового вычета;</w:t>
      </w:r>
    </w:p>
    <w:p>
      <w:pPr>
        <w:pStyle w:val="Normal"/>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w:t>
      </w:r>
    </w:p>
    <w:p>
      <w:pPr>
        <w:pStyle w:val="Normal"/>
        <w:ind w:firstLine="567"/>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 xml:space="preserve">"кешбэк сервис"), включая т.н. "туристический кешбэк", "детский кешбэк" и др.; </w:t>
      </w:r>
    </w:p>
    <w:p>
      <w:pPr>
        <w:pStyle w:val="Normal"/>
        <w:ind w:firstLine="567"/>
        <w:rPr>
          <w:rFonts w:ascii="Times New Roman" w:hAnsi="Times New Roman"/>
          <w:sz w:val="28"/>
          <w:szCs w:val="28"/>
        </w:rPr>
      </w:pPr>
      <w:r>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Pr>
          <w:rStyle w:val="Style16"/>
          <w:rFonts w:cs="Times New Roman" w:ascii="Times New Roman" w:hAnsi="Times New Roman"/>
          <w:color w:val="000000"/>
          <w:sz w:val="28"/>
          <w:szCs w:val="28"/>
        </w:rPr>
        <w:t>кроме случая, предусмотренного пунктом 30 Методических рекомендаций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Normal"/>
        <w:tabs>
          <w:tab w:val="left" w:pos="709" w:leader="none"/>
        </w:tabs>
        <w:ind w:firstLine="567"/>
        <w:rPr>
          <w:rStyle w:val="Style16"/>
          <w:rFonts w:ascii="Times New Roman" w:hAnsi="Times New Roman" w:cs="Times New Roman"/>
          <w:color w:val="000000"/>
          <w:sz w:val="28"/>
          <w:szCs w:val="28"/>
        </w:rPr>
      </w:pPr>
      <w:r>
        <w:rPr>
          <w:rFonts w:ascii="Times New Roman" w:hAnsi="Times New Roman"/>
          <w:sz w:val="28"/>
          <w:szCs w:val="28"/>
        </w:rPr>
        <w:t>14) на специальный избирательный счет в соответствии с</w:t>
      </w:r>
      <w:r>
        <w:rPr>
          <w:rStyle w:val="Style16"/>
          <w:rFonts w:cs="Times New Roman" w:ascii="Times New Roman" w:hAnsi="Times New Roman"/>
          <w:color w:val="000000"/>
          <w:sz w:val="28"/>
          <w:szCs w:val="28"/>
        </w:rPr>
        <w:t xml:space="preserve"> Федеральным законом</w:t>
      </w:r>
      <w:r>
        <w:rPr/>
        <w:t xml:space="preserve"> </w:t>
      </w:r>
      <w:r>
        <w:rPr>
          <w:rStyle w:val="Style16"/>
          <w:rFonts w:cs="Times New Roman"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eastAsia="Times New Roman" w:ascii="Times New Roman" w:hAnsi="Times New Roman"/>
          <w:sz w:val="28"/>
          <w:szCs w:val="28"/>
          <w:lang w:eastAsia="ru-RU"/>
        </w:rPr>
        <w:t>не подлежит отражению в разделе 1 справки. Счет в банке, открытый для соответствующих целей, отражается в разделе 4 справки.</w:t>
      </w:r>
    </w:p>
    <w:p>
      <w:pPr>
        <w:pStyle w:val="ListParagraph"/>
        <w:ind w:left="0" w:firstLine="709"/>
        <w:rPr>
          <w:rFonts w:ascii="Times New Roman" w:hAnsi="Times New Roman"/>
          <w:sz w:val="28"/>
          <w:szCs w:val="28"/>
        </w:rPr>
      </w:pPr>
      <w:r>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pPr>
        <w:pStyle w:val="ListParagraph"/>
        <w:ind w:left="567" w:hanging="0"/>
        <w:rPr>
          <w:rFonts w:ascii="Times New Roman" w:hAnsi="Times New Roman"/>
          <w:sz w:val="28"/>
          <w:szCs w:val="28"/>
        </w:rPr>
      </w:pPr>
      <w:r>
        <w:rPr>
          <w:rFonts w:ascii="Times New Roman" w:hAnsi="Times New Roman"/>
          <w:sz w:val="28"/>
          <w:szCs w:val="28"/>
        </w:rPr>
      </w:r>
    </w:p>
    <w:p>
      <w:pPr>
        <w:pStyle w:val="Normal"/>
        <w:tabs>
          <w:tab w:val="left" w:pos="709" w:leader="none"/>
        </w:tabs>
        <w:ind w:firstLine="567"/>
        <w:jc w:val="center"/>
        <w:rPr>
          <w:rFonts w:ascii="Times New Roman" w:hAnsi="Times New Roman"/>
          <w:b/>
          <w:b/>
          <w:sz w:val="28"/>
          <w:szCs w:val="28"/>
        </w:rPr>
      </w:pPr>
      <w:r>
        <w:rPr>
          <w:rFonts w:ascii="Times New Roman" w:hAnsi="Times New Roman"/>
          <w:b/>
          <w:sz w:val="28"/>
          <w:szCs w:val="28"/>
        </w:rPr>
        <w:t>РАЗДЕЛ 2. СВЕДЕНИЯ О РАСХОДАХ</w:t>
      </w:r>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справки </w:t>
      </w:r>
      <w:r>
        <w:rPr>
          <w:rFonts w:ascii="Times New Roman" w:hAnsi="Times New Roman"/>
          <w:b/>
          <w:sz w:val="28"/>
          <w:szCs w:val="28"/>
        </w:rPr>
        <w:t>заполняется только</w:t>
      </w:r>
      <w:r>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2022 году сообщаются сведения о расходах по сделкам, совершенным в 2021 году.</w:t>
      </w:r>
    </w:p>
    <w:p>
      <w:pPr>
        <w:pStyle w:val="Normal"/>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 68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Граждане, поступающие на службу (работу), раздел 2справки не заполняют.</w:t>
      </w:r>
    </w:p>
    <w:p>
      <w:pPr>
        <w:pStyle w:val="ListParagraph"/>
        <w:ind w:left="0" w:firstLine="567"/>
        <w:rPr>
          <w:rFonts w:ascii="Times New Roman" w:hAnsi="Times New Roman"/>
          <w:sz w:val="28"/>
          <w:szCs w:val="28"/>
        </w:rPr>
      </w:pPr>
      <w:r>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Заполнение данного раздела при отсутствии указанных в пункте 68 настоящих Методических рекомендаций оснований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2021 году, суммируются доходы служащего (работника) и его супруги (супруга), полученные в 2018, 2019 и 2020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цели реализации пункта 68 настоящих Методических рекомендаций при </w:t>
      </w:r>
      <w:r>
        <w:rPr>
          <w:rFonts w:ascii="Times New Roman" w:hAnsi="Times New Roman"/>
          <w:sz w:val="28"/>
        </w:rPr>
        <w:t xml:space="preserve">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w:t>
      </w:r>
      <w:r>
        <w:rPr>
          <w:rFonts w:ascii="Times New Roman" w:hAnsi="Times New Roman"/>
          <w:sz w:val="28"/>
          <w:szCs w:val="28"/>
        </w:rPr>
        <w:t>осуществления расходов по сделке (сделкам)</w:t>
      </w:r>
      <w:r>
        <w:rPr>
          <w:rFonts w:ascii="Times New Roman" w:hAnsi="Times New Roman"/>
          <w:sz w:val="28"/>
        </w:rPr>
        <w:t xml:space="preserve"> и в течение трех лет, предшествующих отчетному периоду. Во всех остальных случаях учитывается только доход служащего (работника) </w:t>
      </w:r>
      <w:r>
        <w:rPr>
          <w:rFonts w:ascii="Times New Roman" w:hAnsi="Times New Roman"/>
          <w:sz w:val="28"/>
          <w:szCs w:val="28"/>
        </w:rPr>
        <w:t>за три последних года, предшествующих отчетному периоду (аналогично в отношении супруги (супруга).</w:t>
      </w:r>
    </w:p>
    <w:p>
      <w:pPr>
        <w:pStyle w:val="ListParagraph"/>
        <w:ind w:left="0" w:firstLine="567"/>
        <w:rPr>
          <w:rFonts w:ascii="Times New Roman" w:hAnsi="Times New Roman"/>
          <w:sz w:val="28"/>
          <w:szCs w:val="28"/>
        </w:rPr>
      </w:pPr>
      <w:r>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ListParagraph"/>
        <w:numPr>
          <w:ilvl w:val="0"/>
          <w:numId w:val="1"/>
        </w:numPr>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w:t>
      </w:r>
      <w:r>
        <w:rPr>
          <w:rFonts w:ascii="Times New Roman" w:hAnsi="Times New Roman"/>
          <w:b/>
          <w:sz w:val="28"/>
          <w:szCs w:val="28"/>
        </w:rPr>
        <w:t>не заполняется</w:t>
      </w:r>
      <w:r>
        <w:rPr>
          <w:rFonts w:ascii="Times New Roman" w:hAnsi="Times New Roman"/>
          <w:sz w:val="28"/>
          <w:szCs w:val="28"/>
        </w:rPr>
        <w:t xml:space="preserve"> в следующих случаях:</w:t>
      </w:r>
    </w:p>
    <w:p>
      <w:pPr>
        <w:pStyle w:val="ListParagraph"/>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Normal"/>
        <w:ind w:firstLine="567"/>
        <w:rPr>
          <w:rFonts w:ascii="Times New Roman" w:hAnsi="Times New Roman"/>
          <w:sz w:val="28"/>
          <w:szCs w:val="28"/>
        </w:rPr>
      </w:pPr>
      <w:r>
        <w:rPr>
          <w:rFonts w:ascii="Times New Roman" w:hAnsi="Times New Roman"/>
          <w:sz w:val="28"/>
          <w:szCs w:val="28"/>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pPr>
        <w:pStyle w:val="Normal"/>
        <w:ind w:firstLine="567"/>
        <w:rPr>
          <w:rFonts w:ascii="Times New Roman" w:hAnsi="Times New Roman"/>
          <w:sz w:val="28"/>
          <w:szCs w:val="28"/>
        </w:rPr>
      </w:pPr>
      <w:r>
        <w:rPr>
          <w:rFonts w:ascii="Times New Roman" w:hAnsi="Times New Roman"/>
          <w:sz w:val="28"/>
          <w:szCs w:val="28"/>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графы "</w:t>
      </w:r>
      <w:r>
        <w:rPr>
          <w:rFonts w:ascii="Times New Roman" w:hAnsi="Times New Roman"/>
          <w:b/>
          <w:sz w:val="28"/>
          <w:szCs w:val="28"/>
        </w:rPr>
        <w:t>Вид приобретенного имущества</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графы "</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ConsPlusNormal"/>
        <w:numPr>
          <w:ilvl w:val="0"/>
          <w:numId w:val="1"/>
        </w:numPr>
        <w:ind w:left="0" w:firstLine="567"/>
        <w:jc w:val="both"/>
        <w:rPr/>
      </w:pPr>
      <w:r>
        <w:rPr/>
        <w:t xml:space="preserve">В графе </w:t>
      </w:r>
      <w:r>
        <w:rPr>
          <w:b/>
        </w:rPr>
        <w:t xml:space="preserve">"Основания приобретения имущества" </w:t>
      </w:r>
      <w:r>
        <w:rPr/>
        <w:t>указываются регистрационный номер и дата записи в Едином государственном реестре недвижимости (ЕГРН)</w:t>
      </w:r>
      <w:r>
        <w:rPr>
          <w:bCs/>
        </w:rPr>
        <w:t xml:space="preserve">. Также указываются </w:t>
      </w:r>
      <w:r>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ConsPlusNormal"/>
        <w:ind w:firstLine="567"/>
        <w:jc w:val="both"/>
        <w:rPr/>
      </w:pPr>
      <w:r>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rPr/>
      </w:pPr>
      <w:r>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rPr/>
      </w:pPr>
      <w:r>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ConsPlusNormal"/>
        <w:numPr>
          <w:ilvl w:val="0"/>
          <w:numId w:val="1"/>
        </w:numPr>
        <w:ind w:left="0" w:firstLine="567"/>
        <w:jc w:val="both"/>
        <w:rPr/>
      </w:pPr>
      <w:r>
        <w:rPr>
          <w:b/>
        </w:rPr>
        <w:t>Особенности заполнения раздела "Сведения о расходах"</w:t>
      </w:r>
      <w:r>
        <w:rPr/>
        <w:t>:</w:t>
      </w:r>
    </w:p>
    <w:p>
      <w:pPr>
        <w:pStyle w:val="Normal"/>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pPr>
        <w:pStyle w:val="Normal"/>
        <w:ind w:firstLine="567"/>
        <w:rPr>
          <w:rFonts w:ascii="Times New Roman" w:hAnsi="Times New Roman"/>
          <w:sz w:val="28"/>
          <w:szCs w:val="28"/>
        </w:rPr>
      </w:pPr>
      <w:r>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pPr>
        <w:pStyle w:val="Normal"/>
        <w:ind w:firstLine="567"/>
        <w:rPr>
          <w:rFonts w:ascii="Times New Roman" w:hAnsi="Times New Roman"/>
          <w:sz w:val="28"/>
          <w:szCs w:val="28"/>
        </w:rPr>
      </w:pPr>
      <w:r>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pPr>
        <w:pStyle w:val="Normal"/>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подразделе 3.1 раздела 3 справки;</w:t>
      </w:r>
    </w:p>
    <w:p>
      <w:pPr>
        <w:pStyle w:val="Normal"/>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pStyle w:val="Normal"/>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Normal"/>
        <w:ind w:firstLine="567"/>
        <w:rPr>
          <w:rFonts w:ascii="Times New Roman" w:hAnsi="Times New Roman"/>
          <w:sz w:val="28"/>
          <w:szCs w:val="28"/>
        </w:rPr>
      </w:pPr>
      <w:r>
        <w:rPr>
          <w:rFonts w:ascii="Times New Roman" w:hAnsi="Times New Roman"/>
          <w:b/>
          <w:sz w:val="28"/>
          <w:szCs w:val="28"/>
        </w:rPr>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pStyle w:val="Normal"/>
        <w:ind w:firstLine="851"/>
        <w:rPr>
          <w:rFonts w:ascii="Times New Roman" w:hAnsi="Times New Roman"/>
          <w:sz w:val="24"/>
          <w:szCs w:val="28"/>
        </w:rPr>
      </w:pPr>
      <w:r>
        <w:rPr>
          <w:rFonts w:ascii="Times New Roman" w:hAnsi="Times New Roman"/>
          <w:sz w:val="24"/>
          <w:szCs w:val="28"/>
        </w:rPr>
      </w:r>
    </w:p>
    <w:p>
      <w:pPr>
        <w:pStyle w:val="Normal"/>
        <w:ind w:hanging="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РАЗДЕЛ 3. СВЕДЕНИЯ ОБ ИМУЩЕСТВЕ</w:t>
      </w:r>
    </w:p>
    <w:p>
      <w:pPr>
        <w:pStyle w:val="Normal"/>
        <w:ind w:firstLine="851"/>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p>
      <w:pPr>
        <w:pStyle w:val="Normal"/>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Подраздел 3.1 Недвижимое имущество</w:t>
      </w:r>
    </w:p>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pStyle w:val="Normal"/>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ListParagraph"/>
        <w:ind w:left="0" w:firstLine="567"/>
        <w:rPr>
          <w:rFonts w:ascii="Times New Roman" w:hAnsi="Times New Roman"/>
          <w:sz w:val="28"/>
          <w:szCs w:val="28"/>
        </w:rPr>
      </w:pPr>
      <w:r>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p>
    <w:p>
      <w:pPr>
        <w:pStyle w:val="ListParagraph"/>
        <w:numPr>
          <w:ilvl w:val="0"/>
          <w:numId w:val="1"/>
        </w:numPr>
        <w:ind w:left="0" w:firstLine="709"/>
        <w:outlineLvl w:val="1"/>
        <w:rPr>
          <w:rFonts w:ascii="Times New Roman" w:hAnsi="Times New Roman"/>
          <w:sz w:val="28"/>
          <w:szCs w:val="28"/>
        </w:rPr>
      </w:pPr>
      <w:r>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ListParagraph"/>
        <w:numPr>
          <w:ilvl w:val="0"/>
          <w:numId w:val="1"/>
        </w:numPr>
        <w:ind w:left="0" w:firstLine="567"/>
        <w:outlineLvl w:val="1"/>
        <w:rPr>
          <w:rFonts w:ascii="Times New Roman" w:hAnsi="Times New Roman"/>
          <w:sz w:val="28"/>
          <w:szCs w:val="28"/>
        </w:rPr>
      </w:pPr>
      <w:r>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ListParagraph"/>
        <w:numPr>
          <w:ilvl w:val="0"/>
          <w:numId w:val="1"/>
        </w:numPr>
        <w:ind w:left="0" w:firstLine="567"/>
        <w:outlineLvl w:val="1"/>
        <w:rPr>
          <w:rFonts w:ascii="Times New Roman" w:hAnsi="Times New Roman"/>
          <w:sz w:val="28"/>
          <w:szCs w:val="28"/>
        </w:rPr>
      </w:pPr>
      <w:r>
        <w:rPr>
          <w:rStyle w:val="Style16"/>
          <w:rFonts w:cs="Times New Roman"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ListParagraph"/>
        <w:ind w:left="0" w:firstLine="567"/>
        <w:rPr>
          <w:rFonts w:ascii="Times New Roman" w:hAnsi="Times New Roman"/>
          <w:b/>
          <w:b/>
          <w:sz w:val="28"/>
          <w:szCs w:val="28"/>
        </w:rPr>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Normal"/>
        <w:ind w:firstLine="567"/>
        <w:rPr>
          <w:rFonts w:ascii="Times New Roman" w:hAnsi="Times New Roman"/>
          <w:sz w:val="28"/>
          <w:szCs w:val="28"/>
          <w:lang w:eastAsia="ru-RU"/>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Pr>
          <w:rFonts w:ascii="Times New Roman" w:hAnsi="Times New Roman"/>
          <w:sz w:val="28"/>
          <w:szCs w:val="28"/>
        </w:rPr>
        <w:t>;</w:t>
      </w:r>
    </w:p>
    <w:p>
      <w:pPr>
        <w:pStyle w:val="Normal"/>
        <w:ind w:firstLine="567"/>
        <w:rPr>
          <w:rFonts w:ascii="Times New Roman" w:hAnsi="Times New Roman"/>
          <w:sz w:val="28"/>
          <w:szCs w:val="28"/>
          <w:lang w:eastAsia="ru-RU"/>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ListParagraph"/>
        <w:numPr>
          <w:ilvl w:val="0"/>
          <w:numId w:val="1"/>
        </w:numPr>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color w:val="000000"/>
          <w:sz w:val="28"/>
          <w:szCs w:val="28"/>
        </w:rPr>
        <w:t xml:space="preserve">При наличии в собственности </w:t>
      </w:r>
      <w:r>
        <w:rPr>
          <w:rStyle w:val="Style16"/>
          <w:rFonts w:cs="Times New Roman" w:ascii="Times New Roman" w:hAnsi="Times New Roman"/>
          <w:b/>
          <w:color w:val="000000"/>
          <w:sz w:val="28"/>
          <w:szCs w:val="28"/>
        </w:rPr>
        <w:t>жилого или садового дома,</w:t>
      </w:r>
      <w:r>
        <w:rPr>
          <w:rStyle w:val="Style16"/>
          <w:rFonts w:cs="Times New Roman"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Style w:val="Style16"/>
          <w:rFonts w:cs="Times New Roman" w:ascii="Times New Roman" w:hAnsi="Times New Roman"/>
          <w:color w:val="000000"/>
          <w:sz w:val="28"/>
          <w:szCs w:val="28"/>
        </w:rPr>
        <w:t>В строке 4 "</w:t>
      </w:r>
      <w:r>
        <w:rPr>
          <w:rStyle w:val="Style16"/>
          <w:rFonts w:cs="Times New Roman" w:ascii="Times New Roman" w:hAnsi="Times New Roman"/>
          <w:b/>
          <w:color w:val="000000"/>
          <w:sz w:val="28"/>
          <w:szCs w:val="28"/>
        </w:rPr>
        <w:t>Гаражи</w:t>
      </w:r>
      <w:r>
        <w:rPr>
          <w:rStyle w:val="Style16"/>
          <w:rFonts w:cs="Times New Roman" w:ascii="Times New Roman" w:hAnsi="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"м</w:t>
      </w:r>
      <w:r>
        <w:rPr>
          <w:rStyle w:val="Style16"/>
          <w:rFonts w:cs="Times New Roman" w:ascii="Times New Roman" w:hAnsi="Times New Roman"/>
          <w:color w:val="000000"/>
          <w:sz w:val="28"/>
          <w:szCs w:val="28"/>
        </w:rPr>
        <w:t xml:space="preserve">ашино-место" и другие на основании </w:t>
      </w:r>
      <w:r>
        <w:rPr>
          <w:rFonts w:ascii="Times New Roman" w:hAnsi="Times New Roman"/>
          <w:sz w:val="28"/>
          <w:szCs w:val="28"/>
        </w:rPr>
        <w:t>свидетельства о регистрации права собственности (иного правоустанавливающего документа).</w:t>
      </w:r>
      <w:r>
        <w:rPr>
          <w:rStyle w:val="Style16"/>
          <w:rFonts w:cs="Times New Roman" w:ascii="Times New Roman" w:hAnsi="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ListParagraph"/>
        <w:numPr>
          <w:ilvl w:val="0"/>
          <w:numId w:val="1"/>
        </w:numPr>
        <w:ind w:left="0" w:firstLine="567"/>
        <w:rPr>
          <w:rFonts w:ascii="Times New Roman" w:hAnsi="Times New Roman"/>
          <w:sz w:val="28"/>
          <w:szCs w:val="28"/>
        </w:rPr>
      </w:pPr>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pStyle w:val="Normal"/>
        <w:ind w:firstLine="567"/>
        <w:rPr>
          <w:rFonts w:ascii="Times New Roman" w:hAnsi="Times New Roman"/>
          <w:sz w:val="28"/>
          <w:szCs w:val="28"/>
        </w:rPr>
      </w:pPr>
      <w:r>
        <w:rPr>
          <w:rFonts w:ascii="Times New Roman" w:hAnsi="Times New Roman"/>
          <w:sz w:val="28"/>
          <w:szCs w:val="28"/>
        </w:rPr>
        <w:t>1) субъект Российской Федерации;</w:t>
      </w:r>
    </w:p>
    <w:p>
      <w:pPr>
        <w:pStyle w:val="Normal"/>
        <w:ind w:firstLine="567"/>
        <w:rPr>
          <w:rFonts w:ascii="Times New Roman" w:hAnsi="Times New Roman"/>
          <w:sz w:val="28"/>
          <w:szCs w:val="28"/>
        </w:rPr>
      </w:pPr>
      <w:r>
        <w:rPr>
          <w:rFonts w:ascii="Times New Roman" w:hAnsi="Times New Roman"/>
          <w:sz w:val="28"/>
          <w:szCs w:val="28"/>
        </w:rPr>
        <w:t>2) район;</w:t>
      </w:r>
    </w:p>
    <w:p>
      <w:pPr>
        <w:pStyle w:val="Normal"/>
        <w:ind w:firstLine="567"/>
        <w:rPr>
          <w:rFonts w:ascii="Times New Roman" w:hAnsi="Times New Roman"/>
          <w:sz w:val="28"/>
          <w:szCs w:val="28"/>
        </w:rPr>
      </w:pPr>
      <w:r>
        <w:rPr>
          <w:rFonts w:ascii="Times New Roman" w:hAnsi="Times New Roman"/>
          <w:sz w:val="28"/>
          <w:szCs w:val="28"/>
        </w:rPr>
        <w:t>3) город, иной населенный пункт (село, поселок и т.д.);</w:t>
      </w:r>
    </w:p>
    <w:p>
      <w:pPr>
        <w:pStyle w:val="Normal"/>
        <w:ind w:firstLine="567"/>
        <w:rPr>
          <w:rFonts w:ascii="Times New Roman" w:hAnsi="Times New Roman"/>
          <w:sz w:val="28"/>
          <w:szCs w:val="28"/>
        </w:rPr>
      </w:pPr>
      <w:r>
        <w:rPr>
          <w:rFonts w:ascii="Times New Roman" w:hAnsi="Times New Roman"/>
          <w:sz w:val="28"/>
          <w:szCs w:val="28"/>
        </w:rPr>
        <w:t>4) улица (проспект, переулок и т.д.);</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Также рекомендуется указывать индекс.</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указывается:</w:t>
      </w:r>
    </w:p>
    <w:p>
      <w:pPr>
        <w:pStyle w:val="Normal"/>
        <w:ind w:firstLine="567"/>
        <w:rPr>
          <w:rFonts w:ascii="Times New Roman" w:hAnsi="Times New Roman"/>
          <w:sz w:val="28"/>
          <w:szCs w:val="28"/>
        </w:rPr>
      </w:pPr>
      <w:r>
        <w:rPr>
          <w:rFonts w:ascii="Times New Roman" w:hAnsi="Times New Roman"/>
          <w:sz w:val="28"/>
          <w:szCs w:val="28"/>
        </w:rPr>
        <w:t>1) наименование государства;</w:t>
      </w:r>
    </w:p>
    <w:p>
      <w:pPr>
        <w:pStyle w:val="Normal"/>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pPr>
        <w:pStyle w:val="Normal"/>
        <w:ind w:firstLine="567"/>
        <w:rPr>
          <w:rFonts w:ascii="Times New Roman" w:hAnsi="Times New Roman"/>
          <w:strike/>
          <w:sz w:val="28"/>
          <w:szCs w:val="28"/>
        </w:rPr>
      </w:pPr>
      <w:r>
        <w:rPr>
          <w:rFonts w:ascii="Times New Roman" w:hAnsi="Times New Roman"/>
          <w:sz w:val="28"/>
          <w:szCs w:val="28"/>
        </w:rPr>
        <w:t>3) почтовый адрес.</w:t>
      </w:r>
    </w:p>
    <w:p>
      <w:pPr>
        <w:pStyle w:val="ListParagraph"/>
        <w:numPr>
          <w:ilvl w:val="0"/>
          <w:numId w:val="1"/>
        </w:numPr>
        <w:ind w:left="0" w:firstLine="567"/>
        <w:rPr>
          <w:rStyle w:val="Style16"/>
          <w:rFonts w:ascii="Times New Roman" w:hAnsi="Times New Roman" w:cs="Times New Roman"/>
          <w:color w:val="000000"/>
          <w:sz w:val="28"/>
          <w:szCs w:val="28"/>
        </w:rPr>
      </w:pPr>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Style16"/>
          <w:rFonts w:cs="Times New Roman"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ListParagraph"/>
        <w:numPr>
          <w:ilvl w:val="0"/>
          <w:numId w:val="1"/>
        </w:numPr>
        <w:ind w:left="0" w:firstLine="567"/>
        <w:rPr>
          <w:rStyle w:val="Style16"/>
          <w:rFonts w:ascii="Times New Roman" w:hAnsi="Times New Roman" w:cs="Times New Roman"/>
          <w:color w:val="000000"/>
          <w:sz w:val="28"/>
          <w:szCs w:val="28"/>
        </w:rPr>
      </w:pPr>
      <w:r>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ListParagraph"/>
        <w:ind w:left="0" w:firstLine="567"/>
        <w:rPr>
          <w:rFonts w:ascii="Times New Roman" w:hAnsi="Times New Roman"/>
          <w:b/>
          <w:b/>
          <w:sz w:val="28"/>
          <w:szCs w:val="28"/>
        </w:rPr>
      </w:pPr>
      <w:r>
        <w:rPr>
          <w:rFonts w:ascii="Times New Roman" w:hAnsi="Times New Roman"/>
          <w:b/>
          <w:sz w:val="28"/>
          <w:szCs w:val="28"/>
        </w:rPr>
        <w:t>Основание приобретения и источники средств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ListParagraph"/>
        <w:ind w:left="0" w:firstLine="567"/>
        <w:rPr>
          <w:rFonts w:ascii="Times New Roman" w:hAnsi="Times New Roman"/>
          <w:sz w:val="28"/>
          <w:szCs w:val="28"/>
        </w:rPr>
      </w:pPr>
      <w:r>
        <w:rPr>
          <w:rFonts w:ascii="Times New Roman" w:hAnsi="Times New Roman"/>
          <w:sz w:val="28"/>
          <w:szCs w:val="28"/>
        </w:rPr>
        <w:t>Для каждого объекта недвижимого имущества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регистрации права из выписки Единого государственного реестра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ListParagraph"/>
        <w:ind w:left="0" w:firstLine="567"/>
        <w:rPr>
          <w:rFonts w:ascii="Times New Roman" w:hAnsi="Times New Roman"/>
          <w:sz w:val="28"/>
          <w:szCs w:val="28"/>
        </w:rPr>
      </w:pPr>
      <w:r>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77:02:0014017:1994-72/004/2021-2 от 27 марта 2021 г.; договор купли-продажи от 19 февраля 2021 г. или иное.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ListParagraph"/>
        <w:ind w:left="0" w:firstLine="567"/>
        <w:rPr>
          <w:rFonts w:ascii="Times New Roman" w:hAnsi="Times New Roman"/>
          <w:sz w:val="28"/>
          <w:szCs w:val="28"/>
        </w:rPr>
      </w:pPr>
      <w:r>
        <w:rPr>
          <w:rFonts w:ascii="Times New Roman" w:hAnsi="Times New Roman"/>
          <w:sz w:val="28"/>
          <w:szCs w:val="28"/>
        </w:rPr>
        <w:t>1) на лиц, замещающих (занимающих):</w:t>
      </w:r>
    </w:p>
    <w:p>
      <w:pPr>
        <w:pStyle w:val="ListParagraph"/>
        <w:ind w:left="0" w:firstLine="567"/>
        <w:rPr>
          <w:rFonts w:ascii="Times New Roman" w:hAnsi="Times New Roman"/>
          <w:sz w:val="28"/>
          <w:szCs w:val="28"/>
        </w:rPr>
      </w:pPr>
      <w:bookmarkStart w:id="0" w:name="Par1"/>
      <w:bookmarkEnd w:id="0"/>
      <w:r>
        <w:rPr>
          <w:rFonts w:ascii="Times New Roman" w:hAnsi="Times New Roman"/>
          <w:sz w:val="28"/>
          <w:szCs w:val="28"/>
        </w:rPr>
        <w:t>государственные должности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членов Совета директоров Центрального банка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pPr>
        <w:pStyle w:val="ListParagraph"/>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rPr/>
      </w:pPr>
      <w:bookmarkStart w:id="1" w:name="Par8"/>
      <w:bookmarkEnd w:id="1"/>
      <w:r>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rPr/>
      </w:pPr>
      <w:r>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ListParagraph"/>
        <w:ind w:left="0" w:firstLine="567"/>
        <w:rPr>
          <w:rFonts w:ascii="Times New Roman" w:hAnsi="Times New Roman"/>
          <w:sz w:val="28"/>
          <w:szCs w:val="28"/>
        </w:rPr>
      </w:pPr>
      <w:r>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pPr>
        <w:pStyle w:val="ListParagraph"/>
        <w:ind w:left="0" w:firstLine="567"/>
        <w:rPr>
          <w:rFonts w:ascii="Times New Roman" w:hAnsi="Times New Roman"/>
          <w:sz w:val="28"/>
          <w:szCs w:val="28"/>
        </w:rPr>
      </w:pPr>
      <w:r>
        <w:rPr>
          <w:rFonts w:ascii="Times New Roman" w:hAnsi="Times New Roman"/>
          <w:sz w:val="28"/>
          <w:szCs w:val="28"/>
        </w:rPr>
        <w:t>3) иных лиц в случаях, предусмотренных федеральными законами.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pPr>
        <w:pStyle w:val="ListParagraph"/>
        <w:ind w:left="0" w:firstLine="567"/>
        <w:rPr>
          <w:rFonts w:ascii="Times New Roman" w:hAnsi="Times New Roman"/>
          <w:b/>
          <w:b/>
          <w:sz w:val="28"/>
          <w:szCs w:val="28"/>
        </w:rPr>
      </w:pPr>
      <w:r>
        <w:rPr>
          <w:rFonts w:ascii="Times New Roman" w:hAnsi="Times New Roman"/>
          <w:b/>
          <w:sz w:val="28"/>
          <w:szCs w:val="28"/>
        </w:rPr>
        <w:t>Подраздел 3.2. Транспортные средства</w:t>
      </w:r>
    </w:p>
    <w:p>
      <w:pPr>
        <w:pStyle w:val="ListParagraph"/>
        <w:numPr>
          <w:ilvl w:val="0"/>
          <w:numId w:val="1"/>
        </w:numPr>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2021 года включительно продал легковой автомобиль, а новый собственник зарегистрировал такое транспортное средство только в январе 2022 года, то данный объект не подлежит отражению в подразделе 3.2 раздела 3 справки служащего.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12">
        <w:r>
          <w:rPr>
            <w:rFonts w:eastAsia="Times New Roman" w:ascii="Times New Roman" w:hAnsi="Times New Roman"/>
            <w:bCs/>
            <w:sz w:val="28"/>
            <w:szCs w:val="28"/>
            <w:lang w:eastAsia="ru-RU"/>
          </w:rPr>
          <w:t>МО ГИБДД ТНРЭР № 2 ГУ МВД России по г. Москве</w:t>
        </w:r>
      </w:hyperlink>
      <w:r>
        <w:rPr>
          <w:rFonts w:eastAsia="Times New Roman" w:ascii="Times New Roman" w:hAnsi="Times New Roman"/>
          <w:sz w:val="28"/>
          <w:szCs w:val="28"/>
          <w:lang w:eastAsia="ru-RU"/>
        </w:rPr>
        <w:t xml:space="preserve">, </w:t>
      </w:r>
      <w:hyperlink r:id="rId13">
        <w:r>
          <w:rPr>
            <w:rFonts w:eastAsia="Times New Roman" w:ascii="Times New Roman" w:hAnsi="Times New Roman"/>
            <w:bCs/>
            <w:sz w:val="28"/>
            <w:szCs w:val="28"/>
            <w:lang w:eastAsia="ru-RU"/>
          </w:rPr>
          <w:t>ОГИБДД ММО МВД России "Шалинский</w:t>
        </w:r>
      </w:hyperlink>
      <w:r>
        <w:rPr>
          <w:rFonts w:eastAsia="Times New Roman" w:ascii="Times New Roman" w:hAnsi="Times New Roman"/>
          <w:sz w:val="28"/>
          <w:szCs w:val="28"/>
          <w:lang w:eastAsia="ru-RU"/>
        </w:rPr>
        <w:t xml:space="preserve">", </w:t>
      </w:r>
      <w:hyperlink r:id="rId14">
        <w:r>
          <w:rPr>
            <w:rFonts w:eastAsia="Times New Roman" w:ascii="Times New Roman" w:hAnsi="Times New Roman"/>
            <w:bCs/>
            <w:sz w:val="28"/>
            <w:szCs w:val="28"/>
            <w:lang w:eastAsia="ru-RU"/>
          </w:rPr>
          <w:t>ОГИБДД ММО МВД России по Новолялинскому району</w:t>
        </w:r>
      </w:hyperlink>
      <w:r>
        <w:rPr>
          <w:rFonts w:eastAsia="Times New Roman" w:ascii="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eastAsia="Times New Roman" w:ascii="Times New Roman" w:hAnsi="Times New Roman"/>
          <w:sz w:val="28"/>
          <w:szCs w:val="28"/>
          <w:lang w:eastAsia="ru-RU"/>
        </w:rPr>
        <w:t xml:space="preserve"> и т.д. Указанные данные заполняются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pPr>
        <w:pStyle w:val="ListParagraph"/>
        <w:ind w:left="0" w:firstLine="567"/>
        <w:rPr>
          <w:rFonts w:ascii="Times New Roman" w:hAnsi="Times New Roman"/>
          <w:sz w:val="28"/>
          <w:szCs w:val="28"/>
        </w:rPr>
      </w:pPr>
      <w:r>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Normal"/>
        <w:ind w:firstLine="567"/>
        <w:rPr>
          <w:rFonts w:ascii="Times New Roman" w:hAnsi="Times New Roman"/>
          <w:b/>
          <w:b/>
          <w:sz w:val="28"/>
          <w:szCs w:val="28"/>
        </w:rPr>
      </w:pPr>
      <w:r>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pPr>
        <w:pStyle w:val="Normal"/>
        <w:widowControl w:val="false"/>
        <w:ind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Normal"/>
        <w:widowControl w:val="false"/>
        <w:ind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К иным цифровым правам могут быть отнесены утилитарные цифровые права.</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Наименование цифрового финансового актива или цифрового права</w:t>
      </w:r>
      <w:r>
        <w:rPr>
          <w:rStyle w:val="Style16"/>
          <w:rFonts w:cs="Times New Roman" w:ascii="Times New Roman" w:hAnsi="Times New Roman"/>
          <w:sz w:val="28"/>
          <w:szCs w:val="28"/>
          <w:shd w:fill="auto" w:val="clear"/>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709"/>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Дата приобретения</w:t>
      </w:r>
      <w:r>
        <w:rPr>
          <w:rStyle w:val="Style16"/>
          <w:rFonts w:cs="Times New Roman" w:ascii="Times New Roman" w:hAnsi="Times New Roman"/>
          <w:sz w:val="28"/>
          <w:szCs w:val="28"/>
          <w:shd w:fill="auto" w:val="clear"/>
        </w:rPr>
        <w:t>" указывается дата приобретения цифрового финансового актива или цифрового права.</w:t>
      </w:r>
    </w:p>
    <w:p>
      <w:pPr>
        <w:pStyle w:val="ListParagraph"/>
        <w:widowControl w:val="false"/>
        <w:numPr>
          <w:ilvl w:val="0"/>
          <w:numId w:val="1"/>
        </w:numPr>
        <w:ind w:left="0" w:firstLine="709"/>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Общее количество</w:t>
      </w:r>
      <w:r>
        <w:rPr>
          <w:rStyle w:val="Style16"/>
          <w:rFonts w:cs="Times New Roman" w:ascii="Times New Roman" w:hAnsi="Times New Roman"/>
          <w:sz w:val="28"/>
          <w:szCs w:val="28"/>
          <w:shd w:fill="auto" w:val="clear"/>
        </w:rPr>
        <w:t>" указывается общее количество приобретенных цифровых финансовых активов или цифровых прав.</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Сведения об операторе информационной системы, в которой осуществляется выпуск цифровых финансовых активов</w:t>
      </w:r>
      <w:r>
        <w:rPr>
          <w:rStyle w:val="Style16"/>
          <w:rFonts w:cs="Times New Roman" w:ascii="Times New Roman" w:hAnsi="Times New Roman"/>
          <w:sz w:val="28"/>
          <w:szCs w:val="28"/>
          <w:shd w:fill="auto" w:val="clear"/>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Normal"/>
        <w:ind w:firstLine="567"/>
        <w:rPr>
          <w:rFonts w:ascii="Times New Roman" w:hAnsi="Times New Roman"/>
          <w:sz w:val="28"/>
          <w:szCs w:val="28"/>
        </w:rPr>
      </w:pPr>
      <w:r>
        <w:rPr>
          <w:rFonts w:ascii="Times New Roman" w:hAnsi="Times New Roman"/>
          <w:b/>
          <w:sz w:val="28"/>
          <w:szCs w:val="28"/>
        </w:rPr>
        <w:t>Подраздел 3.4. Утилитарные цифровые права</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включают: </w:t>
      </w:r>
    </w:p>
    <w:p>
      <w:pPr>
        <w:pStyle w:val="ListParagraph"/>
        <w:widowControl w:val="false"/>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 xml:space="preserve">1) право требовать передачи вещи (вещей); </w:t>
      </w:r>
    </w:p>
    <w:p>
      <w:pPr>
        <w:pStyle w:val="ListParagraph"/>
        <w:widowControl w:val="false"/>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pPr>
        <w:pStyle w:val="ListParagraph"/>
        <w:widowControl w:val="false"/>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3) право требовать выполнения работ и (или) оказания услуг.</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Уникальное условное обозначение</w:t>
      </w:r>
      <w:r>
        <w:rPr>
          <w:rStyle w:val="Style16"/>
          <w:rFonts w:cs="Times New Roman" w:ascii="Times New Roman" w:hAnsi="Times New Roman"/>
          <w:sz w:val="28"/>
          <w:szCs w:val="28"/>
          <w:shd w:fill="auto" w:val="clear"/>
        </w:rPr>
        <w:t>" указывается уникальное условное обозначение, идентифицирующее утилитарное цифровое право.</w:t>
      </w:r>
    </w:p>
    <w:p>
      <w:pPr>
        <w:pStyle w:val="ListParagraph"/>
        <w:widowControl w:val="false"/>
        <w:numPr>
          <w:ilvl w:val="0"/>
          <w:numId w:val="1"/>
        </w:numPr>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Дата приобретения</w:t>
      </w:r>
      <w:r>
        <w:rPr>
          <w:rStyle w:val="Style16"/>
          <w:rFonts w:cs="Times New Roman" w:ascii="Times New Roman" w:hAnsi="Times New Roman"/>
          <w:sz w:val="28"/>
          <w:szCs w:val="28"/>
          <w:shd w:fill="auto" w:val="clear"/>
        </w:rPr>
        <w:t>" указывается дата приобретения утилитарного цифрового права.</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Объем инвестиций (руб.)</w:t>
      </w:r>
      <w:r>
        <w:rPr>
          <w:rStyle w:val="Style16"/>
          <w:rFonts w:cs="Times New Roman" w:ascii="Times New Roman" w:hAnsi="Times New Roman"/>
          <w:sz w:val="28"/>
          <w:szCs w:val="28"/>
          <w:shd w:fill="auto" w:val="clear"/>
        </w:rPr>
        <w:t>" указывается объем инвестиций в рублях в соответствии с договором инвестирования.</w:t>
      </w:r>
      <w:r>
        <w:rPr/>
        <w:t xml:space="preserve"> </w:t>
      </w:r>
      <w:r>
        <w:rPr>
          <w:rStyle w:val="Style16"/>
          <w:rFonts w:cs="Times New Roman" w:ascii="Times New Roman" w:hAnsi="Times New Roman"/>
          <w:sz w:val="28"/>
          <w:szCs w:val="28"/>
          <w:shd w:fill="auto" w:val="clear"/>
        </w:rPr>
        <w:t>Инвестиции, выраженные в иностранной валюте, указываются в рублях по курсу Банка России на дату их осуществления.</w:t>
      </w:r>
    </w:p>
    <w:p>
      <w:pPr>
        <w:pStyle w:val="Normal"/>
        <w:widowControl w:val="false"/>
        <w:ind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Сведения об операторе инвестиционной платформы</w:t>
      </w:r>
      <w:r>
        <w:rPr>
          <w:rStyle w:val="Style16"/>
          <w:rFonts w:cs="Times New Roman" w:ascii="Times New Roman" w:hAnsi="Times New Roman"/>
          <w:sz w:val="28"/>
          <w:szCs w:val="28"/>
          <w:shd w:fill="auto" w:val="clear"/>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ListParagraph"/>
        <w:widowControl w:val="false"/>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 xml:space="preserve">Реестр операторов инвестиционных платформ размещен на официальном сайте Банка России по ссылке: </w:t>
      </w:r>
      <w:hyperlink r:id="rId15">
        <w:r>
          <w:rPr>
            <w:rFonts w:ascii="Times New Roman" w:hAnsi="Times New Roman"/>
            <w:sz w:val="28"/>
            <w:szCs w:val="28"/>
          </w:rPr>
          <w:t>http://www.cbr.ru/finm_infrastructure/oper/</w:t>
        </w:r>
      </w:hyperlink>
      <w:r>
        <w:rPr>
          <w:rStyle w:val="Style16"/>
          <w:rFonts w:cs="Times New Roman" w:ascii="Times New Roman" w:hAnsi="Times New Roman"/>
          <w:sz w:val="28"/>
          <w:szCs w:val="28"/>
          <w:shd w:fill="auto" w:val="clear"/>
        </w:rPr>
        <w:t>.</w:t>
      </w:r>
    </w:p>
    <w:p>
      <w:pPr>
        <w:pStyle w:val="ListParagraph"/>
        <w:widowControl w:val="false"/>
        <w:ind w:left="0" w:firstLine="567"/>
        <w:rPr>
          <w:rStyle w:val="Style16"/>
          <w:rFonts w:ascii="Times New Roman" w:hAnsi="Times New Roman" w:cs="Times New Roman"/>
          <w:sz w:val="28"/>
          <w:szCs w:val="28"/>
          <w:shd w:fill="auto" w:val="clear"/>
        </w:rPr>
      </w:pPr>
      <w:r>
        <w:rPr>
          <w:rFonts w:ascii="Times New Roman" w:hAnsi="Times New Roman"/>
          <w:b/>
          <w:sz w:val="28"/>
          <w:szCs w:val="28"/>
        </w:rPr>
        <w:t>Подраздел 3.5. Цифровая валюта</w:t>
      </w:r>
    </w:p>
    <w:p>
      <w:pPr>
        <w:pStyle w:val="ListParagraph"/>
        <w:widowControl w:val="false"/>
        <w:numPr>
          <w:ilvl w:val="0"/>
          <w:numId w:val="1"/>
        </w:numPr>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ListParagraph"/>
        <w:widowControl w:val="false"/>
        <w:numPr>
          <w:ilvl w:val="0"/>
          <w:numId w:val="1"/>
        </w:numPr>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ListParagraph"/>
        <w:widowControl w:val="false"/>
        <w:numPr>
          <w:ilvl w:val="0"/>
          <w:numId w:val="1"/>
        </w:numPr>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Наименование цифровой валюты</w:t>
      </w:r>
      <w:r>
        <w:rPr>
          <w:rStyle w:val="Style16"/>
          <w:rFonts w:cs="Times New Roman" w:ascii="Times New Roman" w:hAnsi="Times New Roman"/>
          <w:sz w:val="28"/>
          <w:szCs w:val="28"/>
          <w:shd w:fill="auto" w:val="clear"/>
        </w:rPr>
        <w:t>"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Дата приобретения</w:t>
      </w:r>
      <w:r>
        <w:rPr>
          <w:rStyle w:val="Style16"/>
          <w:rFonts w:cs="Times New Roman" w:ascii="Times New Roman" w:hAnsi="Times New Roman"/>
          <w:sz w:val="28"/>
          <w:szCs w:val="28"/>
          <w:shd w:fill="auto" w:val="clear"/>
        </w:rPr>
        <w:t>" указывается дата приобретения цифровой валюты.</w:t>
      </w:r>
    </w:p>
    <w:p>
      <w:pPr>
        <w:pStyle w:val="ListParagraph"/>
        <w:widowControl w:val="false"/>
        <w:numPr>
          <w:ilvl w:val="0"/>
          <w:numId w:val="1"/>
        </w:numPr>
        <w:ind w:left="0" w:firstLine="567"/>
        <w:rPr>
          <w:rFonts w:ascii="Times New Roman" w:hAnsi="Times New Roman"/>
          <w:b/>
          <w:b/>
          <w:sz w:val="28"/>
          <w:szCs w:val="28"/>
        </w:rPr>
      </w:pPr>
      <w:r>
        <w:rPr>
          <w:rStyle w:val="Style16"/>
          <w:rFonts w:cs="Times New Roman" w:ascii="Times New Roman" w:hAnsi="Times New Roman"/>
          <w:sz w:val="28"/>
          <w:szCs w:val="28"/>
          <w:shd w:fill="auto" w:val="clear"/>
        </w:rPr>
        <w:t>В графе "</w:t>
      </w:r>
      <w:r>
        <w:rPr>
          <w:rStyle w:val="Style16"/>
          <w:rFonts w:cs="Times New Roman" w:ascii="Times New Roman" w:hAnsi="Times New Roman"/>
          <w:b/>
          <w:sz w:val="28"/>
          <w:szCs w:val="28"/>
          <w:shd w:fill="auto" w:val="clear"/>
        </w:rPr>
        <w:t>Общее количество</w:t>
      </w:r>
      <w:r>
        <w:rPr>
          <w:rStyle w:val="Style16"/>
          <w:rFonts w:cs="Times New Roman" w:ascii="Times New Roman" w:hAnsi="Times New Roman"/>
          <w:sz w:val="28"/>
          <w:szCs w:val="28"/>
          <w:shd w:fill="auto" w:val="clear"/>
        </w:rPr>
        <w:t xml:space="preserve">" указывается точное количество цифровой валюты, находящейся в собственности (без округления). </w:t>
      </w:r>
    </w:p>
    <w:p>
      <w:pPr>
        <w:pStyle w:val="ListParagraph"/>
        <w:ind w:left="0" w:firstLine="851"/>
        <w:rPr>
          <w:rFonts w:ascii="Times New Roman" w:hAnsi="Times New Roman"/>
          <w:sz w:val="28"/>
          <w:szCs w:val="28"/>
        </w:rPr>
      </w:pPr>
      <w:r>
        <w:rPr>
          <w:rFonts w:ascii="Times New Roman" w:hAnsi="Times New Roman"/>
          <w:sz w:val="28"/>
          <w:szCs w:val="28"/>
        </w:rPr>
      </w:r>
    </w:p>
    <w:p>
      <w:pPr>
        <w:pStyle w:val="Normal"/>
        <w:ind w:firstLine="851"/>
        <w:jc w:val="center"/>
        <w:rPr>
          <w:rFonts w:ascii="Times New Roman" w:hAnsi="Times New Roman"/>
          <w:b/>
          <w:b/>
          <w:sz w:val="28"/>
          <w:szCs w:val="28"/>
        </w:rPr>
      </w:pPr>
      <w:r>
        <w:rPr>
          <w:rFonts w:ascii="Times New Roman" w:hAnsi="Times New Roman"/>
          <w:b/>
          <w:sz w:val="28"/>
          <w:szCs w:val="28"/>
        </w:rPr>
        <w:t>РАЗДЕЛ 4. СВЕДЕНИЯ О СЧЕТАХ В БАНКАХ И ИНЫХ КРЕДИТНЫХ ОРГАНИЗАЦИЯХ</w:t>
      </w:r>
    </w:p>
    <w:p>
      <w:pPr>
        <w:pStyle w:val="Normal"/>
        <w:ind w:firstLine="851"/>
        <w:jc w:val="center"/>
        <w:rPr>
          <w:rFonts w:ascii="Times New Roman" w:hAnsi="Times New Roman"/>
          <w:b/>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pPr>
        <w:pStyle w:val="ListParagraph"/>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pPr>
        <w:pStyle w:val="ListParagraph"/>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pPr>
        <w:pStyle w:val="Normal"/>
        <w:numPr>
          <w:ilvl w:val="0"/>
          <w:numId w:val="0"/>
        </w:numPr>
        <w:ind w:firstLine="567"/>
        <w:outlineLvl w:val="1"/>
        <w:rPr>
          <w:rStyle w:val="Style16"/>
          <w:rFonts w:ascii="Times New Roman" w:hAnsi="Times New Roman" w:cs="Times New Roman"/>
          <w:color w:val="000000"/>
          <w:sz w:val="28"/>
          <w:szCs w:val="28"/>
        </w:rPr>
      </w:pPr>
      <w:r>
        <w:rPr>
          <w:rStyle w:val="Style16"/>
          <w:rFonts w:cs="Times New Roman"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ListParagraph"/>
        <w:ind w:left="0" w:firstLine="567"/>
        <w:rPr>
          <w:rFonts w:ascii="Times New Roman" w:hAnsi="Times New Roman"/>
          <w:sz w:val="28"/>
          <w:szCs w:val="28"/>
        </w:rPr>
      </w:pPr>
      <w:r>
        <w:rPr>
          <w:rFonts w:ascii="Times New Roman" w:hAnsi="Times New Roman"/>
          <w:sz w:val="28"/>
          <w:szCs w:val="28"/>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pPr>
        <w:pStyle w:val="ListParagraph"/>
        <w:ind w:left="0" w:firstLine="567"/>
        <w:rPr>
          <w:rFonts w:ascii="Times New Roman" w:hAnsi="Times New Roman"/>
          <w:sz w:val="28"/>
          <w:szCs w:val="28"/>
        </w:rPr>
      </w:pPr>
      <w:r>
        <w:rPr>
          <w:rFonts w:ascii="Times New Roman" w:hAnsi="Times New Roman"/>
          <w:sz w:val="28"/>
          <w:szCs w:val="28"/>
        </w:rPr>
        <w:t>5) счета, открытые для погашения кредита;</w:t>
      </w:r>
    </w:p>
    <w:p>
      <w:pPr>
        <w:pStyle w:val="ListParagraph"/>
        <w:ind w:left="0" w:firstLine="567"/>
        <w:rPr>
          <w:rFonts w:ascii="Times New Roman" w:hAnsi="Times New Roman"/>
          <w:sz w:val="28"/>
          <w:szCs w:val="28"/>
        </w:rPr>
      </w:pPr>
      <w:r>
        <w:rPr>
          <w:rFonts w:ascii="Times New Roman" w:hAnsi="Times New Roman"/>
          <w:sz w:val="28"/>
          <w:szCs w:val="28"/>
        </w:rPr>
        <w:t>6) вклады (счета) в драгоценных металлах (в том числе указывается вид счета и металл, в котором он открыт);</w:t>
      </w:r>
    </w:p>
    <w:p>
      <w:pPr>
        <w:pStyle w:val="ListParagraph"/>
        <w:ind w:left="0" w:firstLine="567"/>
        <w:rPr>
          <w:rFonts w:ascii="Times New Roman" w:hAnsi="Times New Roman"/>
          <w:sz w:val="28"/>
          <w:szCs w:val="28"/>
        </w:rPr>
      </w:pPr>
      <w:r>
        <w:rPr>
          <w:rFonts w:ascii="Times New Roman" w:hAnsi="Times New Roman"/>
          <w:sz w:val="28"/>
          <w:szCs w:val="28"/>
        </w:rPr>
        <w:t>7) счета, открытые гражданам, зарегистрированным в качестве индивидуальных предпринимателей.</w:t>
      </w:r>
      <w:r>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8) номинальный счет;</w:t>
      </w:r>
    </w:p>
    <w:p>
      <w:pPr>
        <w:pStyle w:val="ListParagraph"/>
        <w:ind w:left="0" w:firstLine="567"/>
        <w:rPr>
          <w:rFonts w:ascii="Times New Roman" w:hAnsi="Times New Roman"/>
          <w:sz w:val="28"/>
          <w:szCs w:val="28"/>
        </w:rPr>
      </w:pPr>
      <w:r>
        <w:rPr>
          <w:rFonts w:ascii="Times New Roman" w:hAnsi="Times New Roman"/>
          <w:sz w:val="28"/>
          <w:szCs w:val="28"/>
        </w:rPr>
        <w:t>9) счет эскроу.</w:t>
      </w:r>
    </w:p>
    <w:p>
      <w:pPr>
        <w:pStyle w:val="Annotationtext"/>
        <w:ind w:firstLine="567"/>
        <w:rPr>
          <w:rFonts w:ascii="Times New Roman" w:hAnsi="Times New Roman"/>
          <w:sz w:val="28"/>
          <w:szCs w:val="28"/>
        </w:rPr>
      </w:pPr>
      <w:r>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16">
        <w:r>
          <w:rPr>
            <w:rFonts w:ascii="Times New Roman" w:hAnsi="Times New Roman"/>
            <w:sz w:val="28"/>
            <w:szCs w:val="28"/>
          </w:rPr>
          <w:t>https://www.cbr.ru/hd_base/metall/metall_base_new/</w:t>
        </w:r>
      </w:hyperlink>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pPr>
        <w:pStyle w:val="ListParagraph"/>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3) депозитные счета нотариуса;</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ListParagraph"/>
        <w:ind w:left="0" w:firstLine="567"/>
        <w:rPr>
          <w:rFonts w:ascii="Times New Roman" w:hAnsi="Times New Roman"/>
          <w:sz w:val="28"/>
          <w:szCs w:val="28"/>
        </w:rPr>
      </w:pPr>
      <w:r>
        <w:rPr>
          <w:rFonts w:ascii="Times New Roman" w:hAnsi="Times New Roman"/>
          <w:sz w:val="28"/>
          <w:szCs w:val="28"/>
        </w:rPr>
        <w:t>5) счета доверительного управления;</w:t>
      </w:r>
    </w:p>
    <w:p>
      <w:pPr>
        <w:pStyle w:val="ListParagraph"/>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pPr>
        <w:pStyle w:val="ListParagraph"/>
        <w:ind w:left="0" w:firstLine="567"/>
        <w:rPr>
          <w:rFonts w:ascii="Times New Roman" w:hAnsi="Times New Roman"/>
          <w:sz w:val="28"/>
          <w:szCs w:val="28"/>
        </w:rPr>
      </w:pPr>
      <w:r>
        <w:rPr>
          <w:rFonts w:ascii="Times New Roman" w:hAnsi="Times New Roman"/>
          <w:sz w:val="28"/>
          <w:szCs w:val="28"/>
        </w:rPr>
        <w:t>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182 настоящих Методических рекомендаций.</w:t>
      </w:r>
    </w:p>
    <w:p>
      <w:pPr>
        <w:pStyle w:val="ListParagraph"/>
        <w:ind w:left="0" w:firstLine="567"/>
        <w:rPr>
          <w:rFonts w:ascii="Times New Roman" w:hAnsi="Times New Roman"/>
          <w:sz w:val="28"/>
          <w:szCs w:val="28"/>
        </w:rPr>
      </w:pPr>
      <w:r>
        <w:rPr>
          <w:rFonts w:ascii="Times New Roman" w:hAnsi="Times New Roman"/>
          <w:sz w:val="28"/>
          <w:szCs w:val="28"/>
        </w:rPr>
        <w:t>7) синтетические счета.</w:t>
      </w:r>
    </w:p>
    <w:p>
      <w:pPr>
        <w:pStyle w:val="ListParagraph"/>
        <w:numPr>
          <w:ilvl w:val="0"/>
          <w:numId w:val="1"/>
        </w:numPr>
        <w:ind w:left="0" w:firstLine="567"/>
        <w:rPr>
          <w:rFonts w:ascii="Times New Roman" w:hAnsi="Times New Roman"/>
          <w:sz w:val="28"/>
          <w:szCs w:val="28"/>
          <w:shd w:fill="FFFFFF" w:val="clear"/>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ListParagraph"/>
        <w:ind w:left="0" w:firstLine="567"/>
        <w:rPr>
          <w:rStyle w:val="Style16"/>
          <w:rFonts w:ascii="Times New Roman" w:hAnsi="Times New Roman" w:cs="Times New Roman"/>
          <w:sz w:val="28"/>
          <w:szCs w:val="28"/>
        </w:rPr>
      </w:pPr>
      <w:r>
        <w:rPr>
          <w:rStyle w:val="Style16"/>
          <w:rFonts w:cs="Times New Roman"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ListParagraph"/>
        <w:ind w:left="0" w:firstLine="567"/>
        <w:rPr>
          <w:rFonts w:ascii="Times New Roman" w:hAnsi="Times New Roman"/>
          <w:sz w:val="28"/>
          <w:szCs w:val="28"/>
        </w:rPr>
      </w:pPr>
      <w:r>
        <w:rPr>
          <w:rStyle w:val="Style16"/>
          <w:rFonts w:cs="Times New Roman"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(депозитам), депозитных счетов".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указанной Инструкцией физическим лицам открываются следующие счета:</w:t>
      </w:r>
    </w:p>
    <w:p>
      <w:pPr>
        <w:pStyle w:val="ListParagraph"/>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pPr>
        <w:pStyle w:val="ListParagraph"/>
        <w:ind w:left="0" w:firstLine="567"/>
        <w:rPr>
          <w:rFonts w:ascii="Times New Roman" w:hAnsi="Times New Roman"/>
          <w:sz w:val="28"/>
          <w:szCs w:val="28"/>
        </w:rPr>
      </w:pPr>
      <w:r>
        <w:rPr>
          <w:rFonts w:eastAsia="Times New Roman"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ListParagraph"/>
        <w:ind w:left="0" w:firstLine="567"/>
        <w:rPr>
          <w:rFonts w:ascii="Times New Roman" w:hAnsi="Times New Roman"/>
          <w:sz w:val="28"/>
          <w:szCs w:val="28"/>
        </w:rPr>
      </w:pPr>
      <w:r>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pPr>
        <w:pStyle w:val="ListParagraph"/>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ListParagraph"/>
        <w:numPr>
          <w:ilvl w:val="0"/>
          <w:numId w:val="1"/>
        </w:numPr>
        <w:ind w:left="0" w:firstLine="567"/>
        <w:rPr>
          <w:rStyle w:val="Style16"/>
          <w:rFonts w:ascii="Times New Roman" w:hAnsi="Times New Roman" w:cs="Times New Roman"/>
          <w:sz w:val="28"/>
          <w:szCs w:val="28"/>
        </w:rPr>
      </w:pPr>
      <w:r>
        <w:rPr>
          <w:rFonts w:ascii="Times New Roman" w:hAnsi="Times New Roman"/>
          <w:sz w:val="28"/>
          <w:szCs w:val="28"/>
        </w:rPr>
        <w:t xml:space="preserve">В графе "Дата открытия счета" </w:t>
      </w:r>
      <w:r>
        <w:rPr>
          <w:rStyle w:val="Style16"/>
          <w:rFonts w:cs="Times New Roman" w:ascii="Times New Roman" w:hAnsi="Times New Roman"/>
          <w:color w:val="000000"/>
          <w:sz w:val="28"/>
          <w:szCs w:val="28"/>
        </w:rPr>
        <w:t xml:space="preserve">не допускается указание даты выпуска (перевыпуска) платежной карты.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"Остаток на счете" заполняется по состоянию на отчетную дату. </w:t>
      </w:r>
    </w:p>
    <w:p>
      <w:pPr>
        <w:pStyle w:val="ListParagraph"/>
        <w:ind w:left="0" w:firstLine="567"/>
        <w:rPr>
          <w:rFonts w:ascii="Times New Roman" w:hAnsi="Times New Roman"/>
          <w:sz w:val="28"/>
          <w:szCs w:val="28"/>
        </w:rPr>
      </w:pPr>
      <w:r>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ListParagraph"/>
        <w:ind w:left="0" w:firstLine="567"/>
        <w:rPr>
          <w:rFonts w:ascii="Times New Roman" w:hAnsi="Times New Roman"/>
          <w:sz w:val="28"/>
          <w:szCs w:val="28"/>
        </w:rPr>
      </w:pPr>
      <w:r>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pPr>
        <w:pStyle w:val="ListParagraph"/>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17">
        <w:r>
          <w:rPr>
            <w:rFonts w:ascii="Times New Roman" w:hAnsi="Times New Roman"/>
            <w:sz w:val="28"/>
            <w:szCs w:val="28"/>
          </w:rPr>
          <w:t>https://www.cbr.ru/currency_base/</w:t>
        </w:r>
      </w:hyperlink>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"Сумма поступивших на счет денежных средств" заполняется </w:t>
      </w:r>
      <w:r>
        <w:rPr>
          <w:rFonts w:ascii="Times New Roman" w:hAnsi="Times New Roman"/>
          <w:b/>
          <w:sz w:val="28"/>
          <w:szCs w:val="28"/>
        </w:rPr>
        <w:t>только</w:t>
      </w:r>
      <w:r>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2022 году указывается общая сумма денежных средств, поступивших на конкретный счет в 2021 году, если эта сумма превышает общий доход служащего (работника) и его супруги (супруга) за 2019, 2020 и 2021 годы. В этом случае к справке прилагается выписка о движении денежных средств по данному счету за отчетный период. </w:t>
      </w:r>
    </w:p>
    <w:p>
      <w:pPr>
        <w:pStyle w:val="Normal"/>
        <w:ind w:firstLine="567"/>
        <w:rPr>
          <w:rFonts w:ascii="Times New Roman" w:hAnsi="Times New Roman"/>
          <w:sz w:val="28"/>
          <w:szCs w:val="28"/>
        </w:rPr>
      </w:pPr>
      <w:r>
        <w:rPr>
          <w:rFonts w:ascii="Times New Roman" w:hAnsi="Times New Roman"/>
          <w:sz w:val="28"/>
          <w:szCs w:val="28"/>
        </w:rPr>
        <w:t>По счету в драгоценных металлах данная графа не заполняется.</w:t>
      </w:r>
    </w:p>
    <w:p>
      <w:pPr>
        <w:pStyle w:val="Normal"/>
        <w:ind w:firstLine="567"/>
        <w:rPr>
          <w:rFonts w:ascii="Times New Roman" w:hAnsi="Times New Roman"/>
          <w:sz w:val="28"/>
          <w:szCs w:val="28"/>
        </w:rPr>
      </w:pPr>
      <w:r>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Pr>
          <w:rFonts w:eastAsia="MS Mincho" w:cs="MS Mincho" w:ascii="MS Mincho" w:hAnsi="MS Mincho"/>
          <w:sz w:val="28"/>
          <w:szCs w:val="28"/>
        </w:rPr>
        <w:t>✓</w:t>
      </w:r>
      <w:r>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pPr>
        <w:pStyle w:val="Normal"/>
        <w:ind w:firstLine="567"/>
        <w:rPr>
          <w:rFonts w:ascii="Times New Roman" w:hAnsi="Times New Roman"/>
          <w:sz w:val="28"/>
          <w:szCs w:val="28"/>
        </w:rPr>
      </w:pPr>
      <w:r>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pPr>
        <w:pStyle w:val="Normal"/>
        <w:ind w:firstLine="567"/>
        <w:rPr>
          <w:rFonts w:ascii="Times New Roman" w:hAnsi="Times New Roman"/>
          <w:sz w:val="28"/>
          <w:szCs w:val="28"/>
        </w:rPr>
      </w:pPr>
      <w:r>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pPr>
        <w:pStyle w:val="ListParagraph"/>
        <w:ind w:left="0" w:firstLine="567"/>
        <w:rPr>
          <w:rFonts w:ascii="Times New Roman" w:hAnsi="Times New Roman"/>
          <w:sz w:val="28"/>
          <w:szCs w:val="28"/>
        </w:rPr>
      </w:pPr>
      <w:r>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pPr>
        <w:pStyle w:val="ListParagraph"/>
        <w:ind w:left="0" w:firstLine="567"/>
        <w:rPr>
          <w:rFonts w:ascii="Times New Roman" w:hAnsi="Times New Roman"/>
          <w:sz w:val="28"/>
          <w:szCs w:val="28"/>
        </w:rPr>
      </w:pPr>
      <w:r>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pPr>
        <w:pStyle w:val="ListParagraph"/>
        <w:ind w:left="0" w:firstLine="567"/>
        <w:rPr>
          <w:rFonts w:ascii="Times New Roman" w:hAnsi="Times New Roman"/>
          <w:b/>
          <w:b/>
          <w:sz w:val="28"/>
          <w:szCs w:val="28"/>
        </w:rPr>
      </w:pPr>
      <w:r>
        <w:rPr>
          <w:rFonts w:ascii="Times New Roman" w:hAnsi="Times New Roman"/>
          <w:b/>
          <w:sz w:val="28"/>
          <w:szCs w:val="28"/>
        </w:rPr>
        <w:t>Совместный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ListParagraph"/>
        <w:ind w:left="0" w:firstLine="567"/>
        <w:rPr>
          <w:rStyle w:val="Style16"/>
          <w:rFonts w:ascii="Times New Roman" w:hAnsi="Times New Roman" w:cs="Times New Roman"/>
          <w:sz w:val="28"/>
          <w:szCs w:val="28"/>
        </w:rPr>
      </w:pPr>
      <w:r>
        <w:rPr>
          <w:rStyle w:val="Style16"/>
          <w:rFonts w:cs="Times New Roman"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ListParagraph"/>
        <w:ind w:left="0" w:firstLine="567"/>
        <w:rPr>
          <w:rStyle w:val="Style16"/>
          <w:rFonts w:ascii="Times New Roman" w:hAnsi="Times New Roman" w:cs="Times New Roman"/>
          <w:sz w:val="28"/>
          <w:szCs w:val="28"/>
        </w:rPr>
      </w:pPr>
      <w:r>
        <w:rPr>
          <w:rStyle w:val="Style16"/>
          <w:rFonts w:cs="Times New Roman" w:ascii="Times New Roman" w:hAnsi="Times New Roman"/>
          <w:sz w:val="28"/>
          <w:szCs w:val="28"/>
        </w:rPr>
        <w:t>В данном случае в каждой подаваемой справке представляется идентичная информация о таком счете.</w:t>
      </w:r>
    </w:p>
    <w:p>
      <w:pPr>
        <w:pStyle w:val="ListParagraph"/>
        <w:ind w:left="0" w:firstLine="567"/>
        <w:rPr>
          <w:rFonts w:ascii="Times New Roman" w:hAnsi="Times New Roman"/>
          <w:b/>
          <w:b/>
          <w:sz w:val="28"/>
          <w:szCs w:val="28"/>
        </w:rPr>
      </w:pPr>
      <w:r>
        <w:rPr>
          <w:rFonts w:ascii="Times New Roman" w:hAnsi="Times New Roman"/>
          <w:b/>
          <w:sz w:val="28"/>
          <w:szCs w:val="28"/>
        </w:rPr>
        <w:t>Кредитные карты, карты с овердрафтом</w:t>
      </w:r>
    </w:p>
    <w:p>
      <w:pPr>
        <w:pStyle w:val="ListParagraph"/>
        <w:numPr>
          <w:ilvl w:val="0"/>
          <w:numId w:val="1"/>
        </w:numPr>
        <w:ind w:left="0" w:firstLine="567"/>
        <w:rPr>
          <w:rFonts w:ascii="Times New Roman" w:hAnsi="Times New Roman"/>
          <w:sz w:val="28"/>
        </w:rPr>
      </w:pPr>
      <w:r>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103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126"/>
        <w:gridCol w:w="8221"/>
      </w:tblGrid>
      <w:tr>
        <w:trPr/>
        <w:tc>
          <w:tcPr>
            <w:tcW w:w="2126" w:type="dxa"/>
            <w:tcBorders/>
          </w:tcPr>
          <w:p>
            <w:pPr>
              <w:pStyle w:val="ListParagraph"/>
              <w:widowControl/>
              <w:spacing w:before="0" w:after="0"/>
              <w:ind w:left="0" w:hanging="0"/>
              <w:contextualSpacing/>
              <w:rPr>
                <w:rFonts w:ascii="Times New Roman" w:hAnsi="Times New Roman"/>
                <w:sz w:val="28"/>
              </w:rPr>
            </w:pPr>
            <w:r>
              <w:rPr>
                <w:rFonts w:eastAsia="Calibri" w:cs="Times New Roman" w:ascii="Times New Roman" w:hAnsi="Times New Roman"/>
                <w:kern w:val="0"/>
                <w:sz w:val="28"/>
                <w:lang w:val="ru-RU" w:bidi="ar-SA"/>
              </w:rPr>
              <w:t>Расчетная (дебетовая)</w:t>
            </w:r>
          </w:p>
        </w:tc>
        <w:tc>
          <w:tcPr>
            <w:tcW w:w="8221" w:type="dxa"/>
            <w:tcBorders/>
          </w:tcPr>
          <w:p>
            <w:pPr>
              <w:pStyle w:val="ListParagraph"/>
              <w:widowControl/>
              <w:spacing w:before="0" w:after="0"/>
              <w:ind w:left="0" w:hanging="0"/>
              <w:contextualSpacing/>
              <w:rPr>
                <w:rFonts w:ascii="Times New Roman" w:hAnsi="Times New Roman"/>
                <w:sz w:val="28"/>
              </w:rPr>
            </w:pPr>
            <w:r>
              <w:rPr>
                <w:rFonts w:eastAsia="Calibri" w:cs="Times New Roman" w:ascii="Times New Roman" w:hAnsi="Times New Roman"/>
                <w:kern w:val="0"/>
                <w:sz w:val="28"/>
                <w:lang w:val="ru-RU" w:bidi="ar-SA"/>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rPr/>
        <w:tc>
          <w:tcPr>
            <w:tcW w:w="2126" w:type="dxa"/>
            <w:tcBorders/>
          </w:tcPr>
          <w:p>
            <w:pPr>
              <w:pStyle w:val="ListParagraph"/>
              <w:widowControl/>
              <w:spacing w:before="0" w:after="0"/>
              <w:ind w:left="0" w:hanging="0"/>
              <w:contextualSpacing/>
              <w:rPr>
                <w:rFonts w:ascii="Times New Roman" w:hAnsi="Times New Roman"/>
                <w:sz w:val="28"/>
              </w:rPr>
            </w:pPr>
            <w:r>
              <w:rPr>
                <w:rFonts w:eastAsia="Calibri" w:cs="Times New Roman" w:ascii="Times New Roman" w:hAnsi="Times New Roman"/>
                <w:kern w:val="0"/>
                <w:sz w:val="28"/>
                <w:lang w:val="ru-RU" w:bidi="ar-SA"/>
              </w:rPr>
              <w:t>Кредитная</w:t>
            </w:r>
          </w:p>
        </w:tc>
        <w:tc>
          <w:tcPr>
            <w:tcW w:w="8221" w:type="dxa"/>
            <w:tcBorders/>
          </w:tcPr>
          <w:p>
            <w:pPr>
              <w:pStyle w:val="ListParagraph"/>
              <w:widowControl/>
              <w:spacing w:before="0" w:after="0"/>
              <w:ind w:left="0" w:hanging="0"/>
              <w:contextualSpacing/>
              <w:rPr>
                <w:rFonts w:ascii="Times New Roman" w:hAnsi="Times New Roman"/>
                <w:sz w:val="28"/>
              </w:rPr>
            </w:pPr>
            <w:r>
              <w:rPr>
                <w:rFonts w:eastAsia="Calibri" w:cs="Times New Roman" w:ascii="Times New Roman" w:hAnsi="Times New Roman"/>
                <w:kern w:val="0"/>
                <w:sz w:val="28"/>
                <w:lang w:val="ru-RU" w:bidi="ar-SA"/>
              </w:rPr>
              <w:t xml:space="preserve">Как электронное средство платежа используется для совершения ее держателем операций за счет </w:t>
              <w:br/>
              <w:t xml:space="preserve">денежных средств, предоставленных кредитной </w:t>
              <w:br/>
              <w:t>организацией - эмитентом клиенту в пределах расходного лимита в соответствии с условиями кредитного договора.</w:t>
            </w:r>
          </w:p>
        </w:tc>
      </w:tr>
    </w:tbl>
    <w:p>
      <w:pPr>
        <w:pStyle w:val="ListParagraph"/>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pPr>
        <w:pStyle w:val="ListParagraph"/>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Pr>
          <w:rFonts w:ascii="Times New Roman" w:hAnsi="Times New Roman"/>
          <w:color w:val="000000"/>
          <w:sz w:val="28"/>
          <w:szCs w:val="28"/>
        </w:rPr>
        <w:t>в настоящее время операторы сотовой связи, например ПАО "МТС-Банк", открывают своим клиентам банковские счета, которые могут предусматривать необходимость отражения сведений о них в настоящем разделе справки.</w:t>
      </w:r>
    </w:p>
    <w:p>
      <w:pPr>
        <w:pStyle w:val="ListParagraph"/>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8">
        <w:r>
          <w:rPr>
            <w:rFonts w:ascii="Times New Roman" w:hAnsi="Times New Roman"/>
            <w:sz w:val="28"/>
            <w:szCs w:val="28"/>
          </w:rPr>
          <w:t>https://www.nalog.ru/rn77/related_activities/accounting/bank_account/</w:t>
        </w:r>
      </w:hyperlink>
      <w:r>
        <w:rPr>
          <w:rFonts w:ascii="Times New Roman" w:hAnsi="Times New Roman"/>
          <w:sz w:val="28"/>
          <w:szCs w:val="28"/>
        </w:rPr>
        <w:t>.</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pPr>
        <w:pStyle w:val="ListParagraph"/>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ListParagraph"/>
        <w:numPr>
          <w:ilvl w:val="0"/>
          <w:numId w:val="1"/>
        </w:numPr>
        <w:ind w:left="0" w:firstLine="567"/>
        <w:rPr>
          <w:rFonts w:ascii="Times New Roman" w:hAnsi="Times New Roman"/>
          <w:sz w:val="28"/>
        </w:rPr>
      </w:pPr>
      <w:r>
        <w:rPr>
          <w:rFonts w:ascii="Times New Roman" w:hAnsi="Times New Roman"/>
          <w:sz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ListParagraph"/>
        <w:numPr>
          <w:ilvl w:val="0"/>
          <w:numId w:val="1"/>
        </w:numPr>
        <w:ind w:left="0" w:firstLine="567"/>
        <w:rPr>
          <w:rFonts w:ascii="Times New Roman" w:hAnsi="Times New Roman"/>
          <w:sz w:val="28"/>
        </w:rPr>
      </w:pPr>
      <w:r>
        <w:rPr>
          <w:rFonts w:ascii="Times New Roman" w:hAnsi="Times New Roman"/>
          <w:sz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ListParagraph"/>
        <w:numPr>
          <w:ilvl w:val="0"/>
          <w:numId w:val="1"/>
        </w:numPr>
        <w:ind w:left="0" w:firstLine="567"/>
        <w:rPr>
          <w:rFonts w:ascii="Times New Roman" w:hAnsi="Times New Roman"/>
          <w:sz w:val="28"/>
          <w:szCs w:val="28"/>
        </w:rPr>
      </w:pPr>
      <w:r>
        <w:rPr>
          <w:rFonts w:ascii="Times New Roman" w:hAnsi="Times New Roman"/>
          <w:sz w:val="28"/>
        </w:rPr>
        <w:t xml:space="preserve">При отсутствии на отчетную дату денежных средств на счете, к которому эмитирована (выпущена) расчетная или кредитная карта, и </w:t>
      </w:r>
      <w:r>
        <w:rPr>
          <w:rFonts w:ascii="Times New Roman" w:hAnsi="Times New Roman"/>
          <w:sz w:val="28"/>
          <w:szCs w:val="28"/>
        </w:rPr>
        <w:t>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не указываются счета</w:t>
      </w:r>
      <w:r>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"ЮMoney", "</w:t>
      </w:r>
      <w:r>
        <w:rPr>
          <w:rFonts w:ascii="Times New Roman" w:hAnsi="Times New Roman"/>
          <w:sz w:val="28"/>
          <w:szCs w:val="28"/>
          <w:lang w:val="en-US"/>
        </w:rPr>
        <w:t>Qiwi</w:t>
      </w:r>
      <w:r>
        <w:rPr>
          <w:rFonts w:ascii="Times New Roman" w:hAnsi="Times New Roman"/>
          <w:sz w:val="28"/>
          <w:szCs w:val="28"/>
        </w:rPr>
        <w:t xml:space="preserve"> кошелек" и др.).</w:t>
      </w:r>
    </w:p>
    <w:p>
      <w:pPr>
        <w:pStyle w:val="ListParagraph"/>
        <w:ind w:left="0" w:firstLine="567"/>
        <w:rPr>
          <w:rFonts w:ascii="Times New Roman" w:hAnsi="Times New Roman"/>
          <w:sz w:val="28"/>
          <w:szCs w:val="28"/>
        </w:rPr>
      </w:pPr>
      <w:r>
        <w:rPr>
          <w:rFonts w:ascii="Times New Roman" w:hAnsi="Times New Roman"/>
          <w:b/>
          <w:sz w:val="28"/>
          <w:szCs w:val="28"/>
        </w:rPr>
        <w:t xml:space="preserve">Отзыв лицензии у кредитной организации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pPr>
        <w:pStyle w:val="ListParagraph"/>
        <w:ind w:left="0" w:firstLine="567"/>
        <w:rPr>
          <w:rFonts w:ascii="Times New Roman" w:hAnsi="Times New Roman"/>
          <w:b/>
          <w:b/>
          <w:sz w:val="28"/>
          <w:szCs w:val="28"/>
        </w:rPr>
      </w:pPr>
      <w:r>
        <w:rPr>
          <w:rFonts w:ascii="Times New Roman" w:hAnsi="Times New Roman"/>
          <w:b/>
          <w:sz w:val="28"/>
          <w:szCs w:val="28"/>
        </w:rPr>
        <w:t>Ликвидация кредитной организации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19">
        <w:r>
          <w:rPr>
            <w:rFonts w:ascii="Times New Roman" w:hAnsi="Times New Roman"/>
            <w:sz w:val="28"/>
            <w:szCs w:val="28"/>
          </w:rPr>
          <w:t>https://www.cbr.ru/banking_sector/likvidbase/</w:t>
        </w:r>
      </w:hyperlink>
      <w:r>
        <w:rPr>
          <w:rFonts w:ascii="Times New Roman" w:hAnsi="Times New Roman"/>
          <w:sz w:val="28"/>
          <w:szCs w:val="28"/>
        </w:rPr>
        <w:t xml:space="preserve">. </w:t>
      </w:r>
    </w:p>
    <w:p>
      <w:pPr>
        <w:pStyle w:val="Normal"/>
        <w:ind w:firstLine="851"/>
        <w:jc w:val="center"/>
        <w:rPr>
          <w:rFonts w:ascii="Times New Roman" w:hAnsi="Times New Roman"/>
          <w:sz w:val="28"/>
          <w:szCs w:val="28"/>
        </w:rPr>
      </w:pPr>
      <w:r>
        <w:rPr>
          <w:rFonts w:ascii="Times New Roman" w:hAnsi="Times New Roman"/>
          <w:sz w:val="28"/>
          <w:szCs w:val="28"/>
        </w:rPr>
      </w:r>
    </w:p>
    <w:p>
      <w:pPr>
        <w:pStyle w:val="Normal"/>
        <w:ind w:firstLine="851"/>
        <w:jc w:val="center"/>
        <w:rPr>
          <w:rFonts w:ascii="Times New Roman" w:hAnsi="Times New Roman"/>
          <w:b/>
          <w:b/>
          <w:sz w:val="28"/>
          <w:szCs w:val="28"/>
        </w:rPr>
      </w:pPr>
      <w:r>
        <w:rPr>
          <w:rFonts w:ascii="Times New Roman" w:hAnsi="Times New Roman"/>
          <w:b/>
          <w:sz w:val="28"/>
          <w:szCs w:val="28"/>
        </w:rPr>
        <w:t>РАЗДЕЛ 5. СВЕДЕНИЯ О ЦЕННЫХ БУМАГАХ</w:t>
      </w:r>
    </w:p>
    <w:p>
      <w:pPr>
        <w:pStyle w:val="Normal"/>
        <w:ind w:firstLine="851"/>
        <w:jc w:val="center"/>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pPr>
        <w:pStyle w:val="ListParagraph"/>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pPr>
        <w:pStyle w:val="ListParagraph"/>
        <w:ind w:left="0" w:firstLine="567"/>
        <w:rPr>
          <w:rFonts w:ascii="Times New Roman" w:hAnsi="Times New Roman"/>
          <w:sz w:val="28"/>
          <w:szCs w:val="28"/>
        </w:rPr>
      </w:pPr>
      <w:r>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ListParagraph"/>
        <w:ind w:left="0" w:firstLine="567"/>
        <w:rPr>
          <w:rFonts w:ascii="Times New Roman" w:hAnsi="Times New Roman"/>
          <w:sz w:val="28"/>
          <w:szCs w:val="28"/>
        </w:rPr>
      </w:pPr>
      <w:r>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pStyle w:val="Normal"/>
        <w:ind w:firstLine="567"/>
        <w:rPr>
          <w:rFonts w:ascii="Times New Roman" w:hAnsi="Times New Roman"/>
          <w:b/>
          <w:b/>
          <w:sz w:val="28"/>
          <w:szCs w:val="28"/>
        </w:rPr>
      </w:pPr>
      <w:r>
        <w:rPr>
          <w:rFonts w:ascii="Times New Roman" w:hAnsi="Times New Roman"/>
          <w:b/>
          <w:sz w:val="28"/>
          <w:szCs w:val="28"/>
        </w:rPr>
        <w:t xml:space="preserve">Подраздел 5.1. Акции и иное участие в коммерческих организациях и фондах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 апреля 1996 г. </w:t>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pStyle w:val="Normal"/>
        <w:tabs>
          <w:tab w:val="clear" w:pos="709"/>
          <w:tab w:val="left" w:pos="426" w:leader="none"/>
        </w:tabs>
        <w:ind w:firstLine="567"/>
        <w:rPr>
          <w:rFonts w:ascii="Times New Roman" w:hAnsi="Times New Roman"/>
          <w:sz w:val="28"/>
          <w:szCs w:val="28"/>
        </w:rPr>
      </w:pPr>
      <w:r>
        <w:rPr>
          <w:rFonts w:ascii="Times New Roman" w:hAnsi="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2" w:name="Par619"/>
      <w:bookmarkEnd w:id="2"/>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Место нахождения</w:t>
      </w:r>
      <w:r>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pPr>
        <w:pStyle w:val="ListParagraph"/>
        <w:numPr>
          <w:ilvl w:val="0"/>
          <w:numId w:val="1"/>
        </w:numPr>
        <w:ind w:left="0" w:firstLine="567"/>
        <w:rPr>
          <w:rFonts w:ascii="Times New Roman" w:hAnsi="Times New Roman"/>
          <w:sz w:val="28"/>
          <w:szCs w:val="28"/>
        </w:rPr>
      </w:pPr>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0">
        <w:r>
          <w:rPr>
            <w:rFonts w:ascii="Times New Roman" w:hAnsi="Times New Roman"/>
            <w:sz w:val="28"/>
            <w:szCs w:val="28"/>
          </w:rPr>
          <w:t>https://www.cbr.ru/currency_base/daily/</w:t>
        </w:r>
      </w:hyperlink>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Если законодательством не предусмотрено формирование уставного капитала, то указывается "0 руб.".</w:t>
      </w:r>
    </w:p>
    <w:p>
      <w:pPr>
        <w:pStyle w:val="ListParagraph"/>
        <w:ind w:left="0" w:firstLine="567"/>
        <w:rPr>
          <w:rFonts w:ascii="Times New Roman" w:hAnsi="Times New Roman"/>
          <w:sz w:val="28"/>
          <w:szCs w:val="28"/>
        </w:rPr>
      </w:pPr>
      <w:r>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ListParagraph"/>
        <w:numPr>
          <w:ilvl w:val="0"/>
          <w:numId w:val="1"/>
        </w:numPr>
        <w:ind w:left="0" w:firstLine="567"/>
        <w:rPr>
          <w:rFonts w:ascii="Times New Roman" w:hAnsi="Times New Roman"/>
          <w:sz w:val="28"/>
          <w:szCs w:val="28"/>
        </w:rPr>
      </w:pPr>
      <w:bookmarkStart w:id="3" w:name="Par620"/>
      <w:bookmarkEnd w:id="3"/>
      <w:r>
        <w:rPr>
          <w:rFonts w:ascii="Times New Roman" w:hAnsi="Times New Roman"/>
          <w:b/>
          <w:sz w:val="28"/>
          <w:szCs w:val="28"/>
        </w:rPr>
        <w:t xml:space="preserve">Доля участия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pPr>
        <w:pStyle w:val="ListParagraph"/>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pPr>
        <w:pStyle w:val="ListParagraph"/>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Основание участия</w:t>
      </w:r>
      <w:r>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ListParagraph"/>
        <w:ind w:left="0" w:firstLine="567"/>
        <w:rPr>
          <w:rFonts w:ascii="Times New Roman" w:hAnsi="Times New Roman"/>
          <w:sz w:val="28"/>
          <w:szCs w:val="28"/>
        </w:rPr>
      </w:pPr>
      <w:r>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дата приобретения.</w:t>
      </w:r>
    </w:p>
    <w:p>
      <w:pPr>
        <w:pStyle w:val="ListParagraph"/>
        <w:ind w:left="567" w:hanging="0"/>
        <w:rPr>
          <w:rFonts w:ascii="Times New Roman" w:hAnsi="Times New Roman"/>
          <w:b/>
          <w:b/>
          <w:sz w:val="28"/>
          <w:szCs w:val="28"/>
        </w:rPr>
      </w:pPr>
      <w:r>
        <w:rPr>
          <w:rFonts w:ascii="Times New Roman" w:hAnsi="Times New Roman"/>
          <w:b/>
          <w:sz w:val="28"/>
          <w:szCs w:val="28"/>
        </w:rPr>
        <w:t>Подраздел 5.2. Иные ценные бумаги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Номинальная величина обязательства</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ListParagraph"/>
        <w:ind w:left="0" w:firstLine="567"/>
        <w:rPr>
          <w:rFonts w:ascii="Times New Roman" w:hAnsi="Times New Roman"/>
          <w:sz w:val="28"/>
          <w:szCs w:val="28"/>
        </w:rPr>
      </w:pPr>
      <w:r>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Общая стоимость</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1">
        <w:r>
          <w:rPr>
            <w:rFonts w:ascii="Times New Roman" w:hAnsi="Times New Roman"/>
            <w:sz w:val="28"/>
            <w:szCs w:val="28"/>
          </w:rPr>
          <w:t>https://www.cbr.ru/currency_base/daily/</w:t>
        </w:r>
      </w:hyperlink>
      <w:r>
        <w:rPr>
          <w:rFonts w:ascii="Times New Roman" w:hAnsi="Times New Roman"/>
          <w:sz w:val="28"/>
          <w:szCs w:val="28"/>
        </w:rPr>
        <w:t>.</w:t>
      </w:r>
    </w:p>
    <w:p>
      <w:pPr>
        <w:pStyle w:val="ListParagraph"/>
        <w:ind w:left="0" w:firstLine="709"/>
        <w:rPr>
          <w:rFonts w:ascii="Times New Roman" w:hAnsi="Times New Roman"/>
          <w:sz w:val="24"/>
          <w:szCs w:val="28"/>
        </w:rPr>
      </w:pPr>
      <w:r>
        <w:rPr>
          <w:rFonts w:ascii="Times New Roman" w:hAnsi="Times New Roman"/>
          <w:sz w:val="24"/>
          <w:szCs w:val="28"/>
        </w:rPr>
      </w:r>
    </w:p>
    <w:p>
      <w:pPr>
        <w:pStyle w:val="Normal"/>
        <w:ind w:hanging="0"/>
        <w:jc w:val="center"/>
        <w:rPr>
          <w:rFonts w:ascii="Times New Roman" w:hAnsi="Times New Roman"/>
          <w:b/>
          <w:b/>
          <w:sz w:val="28"/>
          <w:szCs w:val="28"/>
        </w:rPr>
      </w:pPr>
      <w:r>
        <w:rPr>
          <w:rFonts w:ascii="Times New Roman" w:hAnsi="Times New Roman"/>
          <w:b/>
          <w:sz w:val="28"/>
          <w:szCs w:val="28"/>
        </w:rPr>
        <w:t>РАЗДЕЛ 6. СВЕДЕНИЯ ОБ ОБЯЗАТЕЛЬСТВАХ ИМУЩЕСТВЕННОГО ХАРАКТЕРА</w:t>
      </w:r>
    </w:p>
    <w:p>
      <w:pPr>
        <w:pStyle w:val="Normal"/>
        <w:ind w:firstLine="851"/>
        <w:jc w:val="center"/>
        <w:rPr>
          <w:rFonts w:ascii="Times New Roman" w:hAnsi="Times New Roman"/>
          <w:sz w:val="24"/>
          <w:szCs w:val="28"/>
        </w:rPr>
      </w:pPr>
      <w:r>
        <w:rPr>
          <w:rFonts w:ascii="Times New Roman" w:hAnsi="Times New Roman"/>
          <w:sz w:val="24"/>
          <w:szCs w:val="28"/>
        </w:rPr>
      </w:r>
    </w:p>
    <w:p>
      <w:pPr>
        <w:pStyle w:val="Normal"/>
        <w:ind w:firstLine="567"/>
        <w:rPr>
          <w:rFonts w:ascii="Times New Roman" w:hAnsi="Times New Roman"/>
          <w:b/>
          <w:b/>
          <w:sz w:val="28"/>
          <w:szCs w:val="28"/>
        </w:rPr>
      </w:pPr>
      <w:r>
        <w:rPr>
          <w:rFonts w:ascii="Times New Roman" w:hAnsi="Times New Roman"/>
          <w:b/>
          <w:sz w:val="28"/>
          <w:szCs w:val="28"/>
        </w:rPr>
        <w:t>Подраздел 6.1. Объекты недвижимого имущества, находящиеся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ListParagraph"/>
        <w:ind w:left="0" w:firstLine="567"/>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следующих условиях: </w:t>
      </w:r>
    </w:p>
    <w:p>
      <w:pPr>
        <w:pStyle w:val="ListParagraph"/>
        <w:numPr>
          <w:ilvl w:val="0"/>
          <w:numId w:val="8"/>
        </w:numPr>
        <w:ind w:left="142" w:firstLine="425"/>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ListParagraph"/>
        <w:numPr>
          <w:ilvl w:val="0"/>
          <w:numId w:val="8"/>
        </w:numPr>
        <w:ind w:left="142" w:firstLine="425"/>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справки соответствующей справки </w:t>
      </w:r>
    </w:p>
    <w:p>
      <w:pPr>
        <w:pStyle w:val="ListParagraph"/>
        <w:ind w:left="567" w:hanging="0"/>
        <w:rPr>
          <w:rFonts w:ascii="Times New Roman" w:hAnsi="Times New Roman"/>
          <w:sz w:val="28"/>
          <w:szCs w:val="28"/>
        </w:rPr>
      </w:pPr>
      <w:r>
        <w:rPr>
          <w:rFonts w:ascii="Times New Roman" w:hAnsi="Times New Roman"/>
          <w:sz w:val="28"/>
          <w:szCs w:val="28"/>
        </w:rPr>
        <w:t>Аналогично в отношении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pPr>
        <w:pStyle w:val="Normal"/>
        <w:ind w:firstLine="567"/>
        <w:rPr>
          <w:rFonts w:ascii="Times New Roman" w:hAnsi="Times New Roman"/>
          <w:sz w:val="28"/>
          <w:szCs w:val="28"/>
        </w:rPr>
      </w:pPr>
      <w:r>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Normal"/>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Normal"/>
        <w:ind w:firstLine="567"/>
        <w:rPr>
          <w:rFonts w:ascii="Times New Roman" w:hAnsi="Times New Roman"/>
          <w:sz w:val="28"/>
          <w:szCs w:val="28"/>
        </w:rPr>
      </w:pPr>
      <w:r>
        <w:rPr>
          <w:rFonts w:ascii="Times New Roman" w:hAnsi="Times New Roman"/>
          <w:sz w:val="28"/>
          <w:szCs w:val="28"/>
        </w:rPr>
        <w:t>3) занимаемых по договору аренды (найма, поднайма);</w:t>
      </w:r>
    </w:p>
    <w:p>
      <w:pPr>
        <w:pStyle w:val="Normal"/>
        <w:ind w:firstLine="567"/>
        <w:rPr>
          <w:rFonts w:ascii="Times New Roman" w:hAnsi="Times New Roman"/>
          <w:sz w:val="28"/>
          <w:szCs w:val="28"/>
        </w:rPr>
      </w:pPr>
      <w:r>
        <w:rPr>
          <w:rFonts w:ascii="Times New Roman" w:hAnsi="Times New Roman"/>
          <w:sz w:val="28"/>
          <w:szCs w:val="28"/>
        </w:rPr>
        <w:t>4) занимаемых по договорам социального найма;</w:t>
      </w:r>
    </w:p>
    <w:p>
      <w:pPr>
        <w:pStyle w:val="Normal"/>
        <w:ind w:firstLine="567"/>
        <w:rPr>
          <w:rFonts w:ascii="Times New Roman" w:hAnsi="Times New Roman"/>
          <w:sz w:val="28"/>
          <w:szCs w:val="28"/>
        </w:rPr>
      </w:pPr>
      <w:r>
        <w:rPr>
          <w:rFonts w:ascii="Times New Roman" w:hAnsi="Times New Roman"/>
          <w:sz w:val="28"/>
          <w:szCs w:val="28"/>
        </w:rPr>
        <w:t>5) используемых для бытовых нужд, но не зарегистрированных в установленном порядке органами Росреестра, а также об объектах незавершенного строительства;</w:t>
      </w:r>
    </w:p>
    <w:p>
      <w:pPr>
        <w:pStyle w:val="Normal"/>
        <w:ind w:firstLine="567"/>
        <w:rPr>
          <w:rFonts w:ascii="Times New Roman" w:hAnsi="Times New Roman"/>
          <w:sz w:val="28"/>
          <w:szCs w:val="28"/>
        </w:rPr>
      </w:pPr>
      <w:r>
        <w:rPr>
          <w:rFonts w:ascii="Times New Roman" w:hAnsi="Times New Roman"/>
          <w:sz w:val="28"/>
          <w:szCs w:val="28"/>
        </w:rPr>
        <w:t>6) принадлежащих на праве пожизненного наследуемого владения земельным участком;</w:t>
      </w:r>
    </w:p>
    <w:p>
      <w:pPr>
        <w:pStyle w:val="Normal"/>
        <w:ind w:firstLine="567"/>
        <w:rPr>
          <w:rFonts w:ascii="Times New Roman" w:hAnsi="Times New Roman"/>
          <w:sz w:val="28"/>
          <w:szCs w:val="28"/>
        </w:rPr>
      </w:pPr>
      <w:r>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имущества, находящегося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квартира, комната и др.).</w:t>
      </w:r>
    </w:p>
    <w:p>
      <w:pPr>
        <w:pStyle w:val="ListParagraph"/>
        <w:widowControl w:val="false"/>
        <w:numPr>
          <w:ilvl w:val="0"/>
          <w:numId w:val="1"/>
        </w:numPr>
        <w:ind w:left="0" w:firstLine="567"/>
        <w:rPr>
          <w:rFonts w:ascii="Times New Roman" w:hAnsi="Times New Roman"/>
          <w:sz w:val="28"/>
          <w:szCs w:val="28"/>
        </w:rPr>
      </w:pPr>
      <w:bookmarkStart w:id="4" w:name="Par626"/>
      <w:bookmarkEnd w:id="4"/>
      <w:r>
        <w:rPr>
          <w:rFonts w:ascii="Times New Roman" w:hAnsi="Times New Roman"/>
          <w:sz w:val="28"/>
          <w:szCs w:val="28"/>
        </w:rPr>
        <w:t>В графе "</w:t>
      </w:r>
      <w:r>
        <w:rPr>
          <w:rFonts w:ascii="Times New Roman" w:hAnsi="Times New Roman"/>
          <w:b/>
          <w:sz w:val="28"/>
          <w:szCs w:val="28"/>
        </w:rPr>
        <w:t>Вид и сроки пользования</w:t>
      </w:r>
      <w:r>
        <w:rPr>
          <w:rFonts w:ascii="Times New Roman" w:hAnsi="Times New Roman"/>
          <w:sz w:val="28"/>
          <w:szCs w:val="28"/>
        </w:rPr>
        <w:t>" указываются вид пользования (аренда, безвозмездное пользование и др.) и сроки пользования.</w:t>
      </w:r>
    </w:p>
    <w:p>
      <w:pPr>
        <w:pStyle w:val="ListParagraph"/>
        <w:numPr>
          <w:ilvl w:val="0"/>
          <w:numId w:val="1"/>
        </w:numPr>
        <w:ind w:left="0" w:firstLine="567"/>
        <w:rPr>
          <w:rFonts w:ascii="Times New Roman" w:hAnsi="Times New Roman"/>
          <w:sz w:val="28"/>
          <w:szCs w:val="28"/>
        </w:rPr>
      </w:pPr>
      <w:bookmarkStart w:id="5" w:name="Par627"/>
      <w:bookmarkEnd w:id="5"/>
      <w:r>
        <w:rPr>
          <w:rFonts w:ascii="Times New Roman" w:hAnsi="Times New Roman"/>
          <w:sz w:val="28"/>
          <w:szCs w:val="28"/>
        </w:rPr>
        <w:t>В графе "</w:t>
      </w:r>
      <w:r>
        <w:rPr>
          <w:rFonts w:ascii="Times New Roman" w:hAnsi="Times New Roman"/>
          <w:b/>
          <w:sz w:val="28"/>
          <w:szCs w:val="28"/>
        </w:rPr>
        <w:t>Основание пользования</w:t>
      </w:r>
      <w:r>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3.1раздела 3 справки. </w:t>
      </w:r>
    </w:p>
    <w:p>
      <w:pPr>
        <w:pStyle w:val="ListParagraph"/>
        <w:ind w:left="0" w:firstLine="567"/>
        <w:rPr>
          <w:rFonts w:ascii="Times New Roman" w:hAnsi="Times New Roman"/>
          <w:sz w:val="28"/>
          <w:szCs w:val="28"/>
        </w:rPr>
      </w:pPr>
      <w:r>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2"/>
        <w:numPr>
          <w:ilvl w:val="0"/>
          <w:numId w:val="1"/>
        </w:numPr>
        <w:shd w:val="clear" w:color="auto" w:fill="auto"/>
        <w:spacing w:lineRule="auto" w:line="240" w:before="0" w:after="0"/>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pPr>
        <w:pStyle w:val="12"/>
        <w:shd w:val="clear" w:color="auto" w:fill="auto"/>
        <w:spacing w:lineRule="auto" w:line="240" w:before="0" w:after="0"/>
        <w:ind w:firstLine="567"/>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pPr>
        <w:pStyle w:val="12"/>
        <w:shd w:val="clear" w:color="auto" w:fill="auto"/>
        <w:spacing w:lineRule="auto" w:line="240" w:before="0" w:after="0"/>
        <w:ind w:firstLine="567"/>
        <w:jc w:val="both"/>
        <w:rPr>
          <w:rFonts w:ascii="Times New Roman" w:hAnsi="Times New Roman"/>
        </w:rPr>
      </w:pPr>
      <w:r>
        <w:rPr>
          <w:rFonts w:ascii="Times New Roman" w:hAnsi="Times New Roman"/>
        </w:rPr>
        <w:t>Аналогично в отношении несовершеннолетних детей.</w:t>
      </w:r>
    </w:p>
    <w:p>
      <w:pPr>
        <w:pStyle w:val="12"/>
        <w:shd w:val="clear" w:color="auto" w:fill="auto"/>
        <w:spacing w:lineRule="auto" w:line="240" w:before="0" w:after="0"/>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12"/>
        <w:shd w:val="clear" w:color="auto" w:fill="auto"/>
        <w:spacing w:lineRule="auto" w:line="240" w:before="0" w:after="0"/>
        <w:ind w:firstLine="567"/>
        <w:jc w:val="both"/>
        <w:rPr>
          <w:rFonts w:ascii="Times New Roman" w:hAnsi="Times New Roman"/>
        </w:rPr>
      </w:pPr>
      <w:r>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pPr>
        <w:pStyle w:val="ListParagraph"/>
        <w:ind w:left="0" w:firstLine="567"/>
        <w:rPr>
          <w:rFonts w:ascii="Times New Roman" w:hAnsi="Times New Roman"/>
          <w:b/>
          <w:b/>
          <w:sz w:val="28"/>
          <w:szCs w:val="28"/>
        </w:rPr>
      </w:pPr>
      <w:r>
        <w:rPr>
          <w:rFonts w:ascii="Times New Roman" w:hAnsi="Times New Roman"/>
          <w:b/>
          <w:sz w:val="28"/>
          <w:szCs w:val="28"/>
        </w:rPr>
        <w:t>Подраздел 6.2. Срочные обязательства финансового характера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pPr>
        <w:pStyle w:val="ListParagraph"/>
        <w:widowControl w:val="false"/>
        <w:numPr>
          <w:ilvl w:val="0"/>
          <w:numId w:val="1"/>
        </w:numPr>
        <w:ind w:left="0" w:firstLine="709"/>
        <w:rPr>
          <w:rFonts w:ascii="Times New Roman" w:hAnsi="Times New Roman"/>
          <w:sz w:val="28"/>
          <w:szCs w:val="28"/>
        </w:rPr>
      </w:pPr>
      <w:bookmarkStart w:id="6" w:name="Par629"/>
      <w:bookmarkEnd w:id="6"/>
      <w:r>
        <w:rPr>
          <w:rFonts w:ascii="Times New Roman" w:hAnsi="Times New Roman"/>
          <w:sz w:val="28"/>
          <w:szCs w:val="28"/>
        </w:rPr>
        <w:t>В графе "</w:t>
      </w:r>
      <w:r>
        <w:rPr>
          <w:rFonts w:ascii="Times New Roman" w:hAnsi="Times New Roman"/>
          <w:b/>
          <w:sz w:val="28"/>
          <w:szCs w:val="28"/>
        </w:rPr>
        <w:t>Содержание обязательства</w:t>
      </w:r>
      <w:r>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Кредитор (должник)</w:t>
      </w:r>
      <w:r>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Например, </w:t>
      </w:r>
    </w:p>
    <w:p>
      <w:pPr>
        <w:pStyle w:val="Normal"/>
        <w:widowControl w:val="false"/>
        <w:ind w:firstLine="567"/>
        <w:rPr>
          <w:rFonts w:ascii="Times New Roman" w:hAnsi="Times New Roman"/>
          <w:sz w:val="28"/>
          <w:szCs w:val="28"/>
        </w:rPr>
      </w:pPr>
      <w:r>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pPr>
        <w:pStyle w:val="Normal"/>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ListParagraph"/>
        <w:widowControl w:val="false"/>
        <w:numPr>
          <w:ilvl w:val="0"/>
          <w:numId w:val="1"/>
        </w:numPr>
        <w:ind w:left="0" w:firstLine="567"/>
        <w:rPr>
          <w:rFonts w:ascii="Times New Roman" w:hAnsi="Times New Roman"/>
          <w:sz w:val="28"/>
          <w:szCs w:val="28"/>
        </w:rPr>
      </w:pPr>
      <w:bookmarkStart w:id="7" w:name="Par631"/>
      <w:bookmarkEnd w:id="7"/>
      <w:r>
        <w:rPr>
          <w:rFonts w:ascii="Times New Roman" w:hAnsi="Times New Roman"/>
          <w:sz w:val="28"/>
          <w:szCs w:val="28"/>
        </w:rPr>
        <w:t>В графе "</w:t>
      </w:r>
      <w:r>
        <w:rPr>
          <w:rFonts w:ascii="Times New Roman" w:hAnsi="Times New Roman"/>
          <w:b/>
          <w:sz w:val="28"/>
          <w:szCs w:val="28"/>
        </w:rPr>
        <w:t>Основание возникновения</w:t>
      </w:r>
      <w:r>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графе "</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sz w:val="28"/>
          <w:szCs w:val="28"/>
        </w:rPr>
        <w:t xml:space="preserve">" указываются: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pPr>
        <w:pStyle w:val="Normal"/>
        <w:widowControl w:val="false"/>
        <w:ind w:firstLine="567"/>
        <w:rPr>
          <w:rFonts w:ascii="Times New Roman" w:hAnsi="Times New Roman"/>
          <w:sz w:val="28"/>
          <w:szCs w:val="28"/>
        </w:rPr>
      </w:pPr>
      <w:r>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2">
        <w:r>
          <w:rPr>
            <w:rFonts w:ascii="Times New Roman" w:hAnsi="Times New Roman"/>
            <w:sz w:val="28"/>
            <w:szCs w:val="28"/>
          </w:rPr>
          <w:t>https://www.cbr.ru/currency_base/daily/</w:t>
        </w:r>
      </w:hyperlink>
      <w:r>
        <w:rPr>
          <w:rFonts w:ascii="Times New Roman" w:hAnsi="Times New Roman"/>
          <w:sz w:val="28"/>
          <w:szCs w:val="28"/>
        </w:rPr>
        <w:t>.</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ListParagraph"/>
        <w:widowControl w:val="false"/>
        <w:numPr>
          <w:ilvl w:val="0"/>
          <w:numId w:val="1"/>
        </w:numPr>
        <w:ind w:left="0" w:firstLine="567"/>
        <w:rPr>
          <w:rFonts w:ascii="Times New Roman" w:hAnsi="Times New Roman"/>
          <w:sz w:val="28"/>
          <w:szCs w:val="28"/>
        </w:rPr>
      </w:pPr>
      <w:bookmarkStart w:id="8" w:name="Par633"/>
      <w:bookmarkEnd w:id="8"/>
      <w:r>
        <w:rPr>
          <w:rFonts w:ascii="Times New Roman" w:hAnsi="Times New Roman"/>
          <w:sz w:val="28"/>
          <w:szCs w:val="28"/>
        </w:rPr>
        <w:t>В графе "</w:t>
      </w:r>
      <w:r>
        <w:rPr>
          <w:rFonts w:ascii="Times New Roman" w:hAnsi="Times New Roman"/>
          <w:b/>
          <w:sz w:val="28"/>
          <w:szCs w:val="28"/>
        </w:rPr>
        <w:t>Условия обязательства</w:t>
      </w:r>
      <w:r>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pPr>
        <w:pStyle w:val="Normal"/>
        <w:ind w:firstLine="567"/>
        <w:rPr>
          <w:rFonts w:ascii="Times New Roman" w:hAnsi="Times New Roman"/>
          <w:sz w:val="28"/>
          <w:szCs w:val="28"/>
        </w:rPr>
      </w:pPr>
      <w:r>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Normal"/>
        <w:ind w:firstLine="567"/>
        <w:rPr>
          <w:rFonts w:ascii="Times New Roman" w:hAnsi="Times New Roman"/>
          <w:sz w:val="28"/>
          <w:szCs w:val="28"/>
        </w:rPr>
      </w:pPr>
      <w:r>
        <w:rPr>
          <w:rFonts w:ascii="Times New Roman" w:hAnsi="Times New Roman"/>
          <w:sz w:val="28"/>
          <w:szCs w:val="28"/>
        </w:rPr>
        <w:t>2) договор финансовой аренды (лизинг);</w:t>
      </w:r>
    </w:p>
    <w:p>
      <w:pPr>
        <w:pStyle w:val="Normal"/>
        <w:ind w:firstLine="567"/>
        <w:rPr>
          <w:rFonts w:ascii="Times New Roman" w:hAnsi="Times New Roman"/>
          <w:sz w:val="28"/>
          <w:szCs w:val="28"/>
        </w:rPr>
      </w:pPr>
      <w:r>
        <w:rPr>
          <w:rFonts w:ascii="Times New Roman" w:hAnsi="Times New Roman"/>
          <w:sz w:val="28"/>
          <w:szCs w:val="28"/>
        </w:rPr>
        <w:t>3) договор займа;</w:t>
      </w:r>
    </w:p>
    <w:p>
      <w:pPr>
        <w:pStyle w:val="ListParagraph"/>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pPr>
        <w:pStyle w:val="ListParagraph"/>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pPr>
        <w:pStyle w:val="Normal"/>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pPr>
        <w:pStyle w:val="Normal"/>
        <w:ind w:firstLine="567"/>
        <w:rPr>
          <w:rFonts w:ascii="Times New Roman" w:hAnsi="Times New Roman"/>
          <w:sz w:val="28"/>
          <w:szCs w:val="28"/>
        </w:rPr>
      </w:pPr>
      <w:r>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Normal"/>
        <w:ind w:firstLine="567"/>
        <w:rPr>
          <w:rFonts w:ascii="Times New Roman" w:hAnsi="Times New Roman"/>
          <w:sz w:val="28"/>
          <w:szCs w:val="28"/>
        </w:rPr>
      </w:pPr>
      <w:r>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pPr>
        <w:pStyle w:val="Normal"/>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w:t>
      </w:r>
      <w:r>
        <w:rPr/>
        <w:t xml:space="preserve"> </w:t>
      </w:r>
      <w:r>
        <w:rPr>
          <w:rFonts w:ascii="Times New Roman" w:hAnsi="Times New Roman"/>
          <w:sz w:val="28"/>
          <w:szCs w:val="28"/>
        </w:rPr>
        <w:t>государственная корпорация "Агентство по страхованию вкладов";</w:t>
      </w:r>
    </w:p>
    <w:p>
      <w:pPr>
        <w:pStyle w:val="Normal"/>
        <w:ind w:firstLine="567"/>
        <w:rPr>
          <w:rFonts w:ascii="Times New Roman" w:hAnsi="Times New Roman"/>
          <w:sz w:val="28"/>
          <w:szCs w:val="28"/>
        </w:rPr>
      </w:pPr>
      <w:r>
        <w:rPr>
          <w:rFonts w:ascii="Times New Roman" w:hAnsi="Times New Roman"/>
          <w:sz w:val="28"/>
          <w:szCs w:val="28"/>
        </w:rPr>
        <w:t>12) предоставленные брокером займы (т.н. "маржинальные сделки");</w:t>
      </w:r>
    </w:p>
    <w:p>
      <w:pPr>
        <w:pStyle w:val="Normal"/>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pPr>
        <w:pStyle w:val="Normal"/>
        <w:ind w:firstLine="567"/>
        <w:rPr>
          <w:rFonts w:ascii="Times New Roman" w:hAnsi="Times New Roman"/>
          <w:sz w:val="28"/>
          <w:szCs w:val="28"/>
        </w:rPr>
      </w:pPr>
      <w:r>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pStyle w:val="Normal"/>
        <w:ind w:firstLine="567"/>
        <w:rPr>
          <w:rFonts w:ascii="Times New Roman" w:hAnsi="Times New Roman"/>
          <w:sz w:val="28"/>
          <w:szCs w:val="28"/>
        </w:rPr>
      </w:pPr>
      <w:r>
        <w:rPr>
          <w:rFonts w:ascii="Times New Roman" w:hAnsi="Times New Roman"/>
          <w:sz w:val="28"/>
          <w:szCs w:val="28"/>
        </w:rPr>
        <w:t>14) фьючерсный договор;</w:t>
      </w:r>
    </w:p>
    <w:p>
      <w:pPr>
        <w:pStyle w:val="Normal"/>
        <w:ind w:firstLine="567"/>
        <w:rPr>
          <w:rFonts w:ascii="Times New Roman" w:hAnsi="Times New Roman"/>
          <w:sz w:val="28"/>
          <w:szCs w:val="28"/>
        </w:rPr>
      </w:pPr>
      <w:r>
        <w:rPr>
          <w:rFonts w:ascii="Times New Roman" w:hAnsi="Times New Roman"/>
          <w:sz w:val="28"/>
          <w:szCs w:val="28"/>
        </w:rPr>
        <w:t>15) иные обязательства, в том числе установленные решением суда.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pPr>
        <w:pStyle w:val="ListParagraph"/>
        <w:widowControl w:val="false"/>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Normal"/>
        <w:ind w:firstLine="567"/>
        <w:rPr>
          <w:rFonts w:ascii="Times New Roman" w:hAnsi="Times New Roman"/>
          <w:sz w:val="28"/>
          <w:szCs w:val="28"/>
        </w:rPr>
      </w:pPr>
      <w:r>
        <w:rPr>
          <w:rFonts w:ascii="Times New Roman" w:hAnsi="Times New Roman"/>
          <w:sz w:val="28"/>
          <w:szCs w:val="28"/>
        </w:rPr>
        <w:t>Данный порядок применяется также в случае использования счетов эскроу.</w:t>
      </w:r>
    </w:p>
    <w:p>
      <w:pPr>
        <w:pStyle w:val="Normal"/>
        <w:ind w:firstLine="567"/>
        <w:rPr>
          <w:rFonts w:ascii="Times New Roman" w:hAnsi="Times New Roman"/>
          <w:sz w:val="28"/>
          <w:szCs w:val="28"/>
        </w:rPr>
      </w:pPr>
      <w:r>
        <w:rPr>
          <w:rFonts w:ascii="Times New Roman" w:hAnsi="Times New Roman"/>
          <w:b/>
          <w:sz w:val="28"/>
          <w:szCs w:val="28"/>
        </w:rPr>
        <w:t>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ListParagraph"/>
        <w:ind w:left="0" w:firstLine="567"/>
        <w:rPr>
          <w:rFonts w:ascii="Times New Roman" w:hAnsi="Times New Roman"/>
          <w:sz w:val="24"/>
          <w:szCs w:val="28"/>
        </w:rPr>
      </w:pPr>
      <w:r>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Pr>
          <w:rFonts w:ascii="Times New Roman" w:hAnsi="Times New Roman"/>
          <w:sz w:val="24"/>
          <w:szCs w:val="28"/>
        </w:rPr>
        <w:t xml:space="preserve"> </w:t>
      </w:r>
    </w:p>
    <w:p>
      <w:pPr>
        <w:pStyle w:val="Normal"/>
        <w:ind w:firstLine="567"/>
        <w:rPr>
          <w:rFonts w:ascii="Times New Roman" w:hAnsi="Times New Roman"/>
          <w:sz w:val="28"/>
          <w:szCs w:val="28"/>
        </w:rPr>
      </w:pPr>
      <w:r>
        <w:rPr>
          <w:rFonts w:ascii="Times New Roman" w:hAnsi="Times New Roman"/>
          <w:b/>
          <w:sz w:val="28"/>
          <w:szCs w:val="28"/>
        </w:rPr>
        <w:t>3) обязательства в соответствии с Законом Российской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pPr>
        <w:pStyle w:val="Normal"/>
        <w:ind w:firstLine="567"/>
        <w:rPr>
          <w:rFonts w:ascii="Times New Roman" w:hAnsi="Times New Roman"/>
          <w:sz w:val="28"/>
          <w:szCs w:val="28"/>
        </w:rPr>
      </w:pPr>
      <w:r>
        <w:rPr>
          <w:rFonts w:ascii="Times New Roman" w:hAnsi="Times New Roman"/>
          <w:sz w:val="28"/>
          <w:szCs w:val="28"/>
        </w:rPr>
        <w:t>В графе "Содержание обязательства" указывается вид страхования, в графе "</w:t>
      </w:r>
      <w:r>
        <w:rPr/>
        <w:t xml:space="preserve"> </w:t>
      </w:r>
      <w:r>
        <w:rPr>
          <w:rFonts w:ascii="Times New Roman" w:hAnsi="Times New Roman"/>
          <w:sz w:val="28"/>
          <w:szCs w:val="28"/>
        </w:rPr>
        <w:t>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pPr>
        <w:pStyle w:val="Normal"/>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pPr>
        <w:pStyle w:val="Normal"/>
        <w:ind w:firstLine="567"/>
        <w:rPr>
          <w:rFonts w:ascii="Times New Roman" w:hAnsi="Times New Roman"/>
          <w:sz w:val="28"/>
          <w:szCs w:val="28"/>
        </w:rPr>
      </w:pPr>
      <w:r>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pStyle w:val="Normal"/>
        <w:ind w:firstLine="567"/>
        <w:rPr>
          <w:rFonts w:ascii="Times New Roman" w:hAnsi="Times New Roman"/>
          <w:sz w:val="28"/>
          <w:szCs w:val="28"/>
        </w:rPr>
      </w:pPr>
      <w:r>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"Об организации страхового дела в Российской Федерации". </w:t>
      </w:r>
    </w:p>
    <w:p>
      <w:pPr>
        <w:pStyle w:val="Normal"/>
        <w:ind w:firstLine="567"/>
        <w:rPr>
          <w:rFonts w:ascii="Times New Roman" w:hAnsi="Times New Roman"/>
          <w:sz w:val="28"/>
          <w:szCs w:val="28"/>
        </w:rPr>
      </w:pPr>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pStyle w:val="Normal"/>
        <w:ind w:firstLine="567"/>
        <w:rPr>
          <w:rFonts w:ascii="Times New Roman" w:hAnsi="Times New Roman"/>
          <w:sz w:val="28"/>
          <w:szCs w:val="28"/>
        </w:rPr>
      </w:pPr>
      <w:r>
        <w:rPr>
          <w:rFonts w:ascii="Times New Roman" w:hAnsi="Times New Roman"/>
          <w:sz w:val="28"/>
          <w:szCs w:val="28"/>
        </w:rP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pPr>
        <w:pStyle w:val="Normal"/>
        <w:ind w:hanging="0"/>
        <w:jc w:val="left"/>
        <w:rPr>
          <w:rFonts w:ascii="Times New Roman" w:hAnsi="Times New Roman"/>
          <w:sz w:val="24"/>
          <w:szCs w:val="28"/>
        </w:rPr>
      </w:pPr>
      <w:r>
        <w:rPr>
          <w:rFonts w:ascii="Times New Roman" w:hAnsi="Times New Roman"/>
          <w:sz w:val="24"/>
          <w:szCs w:val="28"/>
        </w:rPr>
      </w:r>
      <w:r>
        <w:br w:type="page"/>
      </w:r>
    </w:p>
    <w:p>
      <w:pPr>
        <w:pStyle w:val="Normal"/>
        <w:ind w:hanging="0"/>
        <w:jc w:val="center"/>
        <w:rPr>
          <w:rFonts w:ascii="Times New Roman" w:hAnsi="Times New Roman"/>
          <w:b/>
          <w:b/>
          <w:sz w:val="28"/>
          <w:szCs w:val="28"/>
        </w:rPr>
      </w:pPr>
      <w:r>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pPr>
        <w:pStyle w:val="Normal"/>
        <w:ind w:firstLine="851"/>
        <w:jc w:val="center"/>
        <w:rPr>
          <w:rFonts w:ascii="Times New Roman" w:hAnsi="Times New Roman"/>
          <w:sz w:val="24"/>
          <w:szCs w:val="28"/>
        </w:rPr>
      </w:pPr>
      <w:r>
        <w:rPr>
          <w:rFonts w:ascii="Times New Roman" w:hAnsi="Times New Roman"/>
          <w:sz w:val="24"/>
          <w:szCs w:val="28"/>
        </w:rPr>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уставном капитале общества), цифровых финансовых активах, цифровых правах, включающих одновременно цифровые финансовые активы и иные цифровые права, и утилитарных цифровых правах, отчужденных в течение отчетного периода в результате безвозмездной сделки, а также, например, сведения об утилизации автомобиля.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ListParagraph"/>
        <w:widowControl w:val="false"/>
        <w:ind w:left="0" w:firstLine="567"/>
        <w:rPr>
          <w:rFonts w:ascii="Times New Roman" w:hAnsi="Times New Roman"/>
          <w:sz w:val="28"/>
          <w:szCs w:val="28"/>
        </w:rPr>
      </w:pPr>
      <w:r>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отражению в данном разделе справки.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89 настоящих Методических рекомендаций), местонахождение (адрес) в соответствии с пунктами 97 и 98 настоящих Методических рекомендаций, площадь (кв. м) в соответствии с пунктом 99 настоящих Методических рекомендаций.</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 место регистрации.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pPr>
        <w:pStyle w:val="ListParagraph"/>
        <w:widowControl w:val="false"/>
        <w:ind w:left="0" w:firstLine="567"/>
        <w:rPr>
          <w:rFonts w:ascii="Times New Roman" w:hAnsi="Times New Roman"/>
          <w:sz w:val="28"/>
          <w:szCs w:val="28"/>
        </w:rPr>
      </w:pPr>
      <w:r>
        <w:rPr>
          <w:rFonts w:ascii="Times New Roman" w:hAnsi="Times New Roman"/>
          <w:sz w:val="28"/>
          <w:szCs w:val="28"/>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153 настоящих Методических рекомендаций, местонахождение организации (адрес), уставный капитал в соответствии с пунктом 154 настоящих Методических рекомендаций, доли участия в соответствии с пунктом 155 настоящих Методических рекомендаций.</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Style16"/>
          <w:rFonts w:cs="Times New Roman"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pPr>
        <w:pStyle w:val="ListParagraph"/>
        <w:widowControl w:val="false"/>
        <w:ind w:left="0" w:firstLine="567"/>
        <w:rPr>
          <w:rStyle w:val="Style16"/>
          <w:rFonts w:ascii="Times New Roman" w:hAnsi="Times New Roman" w:cs="Times New Roman"/>
          <w:sz w:val="28"/>
          <w:szCs w:val="28"/>
          <w:shd w:fill="auto" w:val="clear"/>
        </w:rPr>
      </w:pPr>
      <w:r>
        <w:rPr>
          <w:rStyle w:val="Style16"/>
          <w:rFonts w:cs="Times New Roman" w:ascii="Times New Roman" w:hAnsi="Times New Roman"/>
          <w:sz w:val="28"/>
          <w:szCs w:val="28"/>
          <w:shd w:fill="auto" w:val="clear"/>
        </w:rPr>
        <w:t>В случае безвозмездной сделки с юридическим лицом в данной графе указываются н</w:t>
      </w:r>
      <w:r>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pPr>
        <w:pStyle w:val="ListParagraph"/>
        <w:widowControl w:val="false"/>
        <w:numPr>
          <w:ilvl w:val="0"/>
          <w:numId w:val="1"/>
        </w:numPr>
        <w:ind w:left="0" w:firstLine="567"/>
        <w:rPr>
          <w:rStyle w:val="Style16"/>
          <w:rFonts w:ascii="Times New Roman" w:hAnsi="Times New Roman" w:cs="Times New Roman"/>
          <w:b/>
          <w:b/>
          <w:sz w:val="28"/>
          <w:szCs w:val="28"/>
          <w:shd w:fill="auto" w:val="clear"/>
        </w:rPr>
      </w:pPr>
      <w:r>
        <w:rPr>
          <w:rStyle w:val="Style16"/>
          <w:rFonts w:cs="Times New Roman" w:ascii="Times New Roman" w:hAnsi="Times New Roman"/>
          <w:sz w:val="28"/>
          <w:szCs w:val="28"/>
          <w:shd w:fill="auto" w:val="clear"/>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Pr/>
        <w:t xml:space="preserve"> </w:t>
      </w:r>
      <w:r>
        <w:rPr>
          <w:rStyle w:val="Style16"/>
          <w:rFonts w:cs="Times New Roman" w:ascii="Times New Roman" w:hAnsi="Times New Roman"/>
          <w:sz w:val="28"/>
          <w:szCs w:val="28"/>
          <w:shd w:fill="auto" w:val="clear"/>
        </w:rPr>
        <w:t>Для цифровых финансовых активов, цифровых прав и цифровой валюты также указывается дата их отчуждения.</w:t>
      </w:r>
    </w:p>
    <w:p>
      <w:pPr>
        <w:pStyle w:val="Normal"/>
        <w:widowControl w:val="false"/>
        <w:rPr>
          <w:rStyle w:val="Style16"/>
          <w:rFonts w:ascii="Times New Roman" w:hAnsi="Times New Roman" w:cs="Times New Roman"/>
          <w:b/>
          <w:b/>
          <w:sz w:val="28"/>
          <w:szCs w:val="28"/>
          <w:shd w:fill="auto" w:val="clear"/>
        </w:rPr>
      </w:pPr>
      <w:r>
        <w:rPr/>
      </w:r>
      <w:bookmarkStart w:id="9" w:name="_GoBack"/>
      <w:bookmarkStart w:id="10" w:name="_GoBack"/>
      <w:bookmarkEnd w:id="10"/>
    </w:p>
    <w:sectPr>
      <w:headerReference w:type="default" r:id="rId23"/>
      <w:type w:val="nextPage"/>
      <w:pgSz w:w="11906" w:h="16838"/>
      <w:pgMar w:left="1134" w:right="567" w:gutter="0" w:header="426"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cc"/>
    <w:family w:val="roman"/>
    <w:pitch w:val="variable"/>
  </w:font>
  <w:font w:name="MS Mincho">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0"/>
      <w:jc w:val="center"/>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56</w:t>
    </w:r>
    <w:r>
      <w:rPr>
        <w:sz w:val="28"/>
        <w:szCs w:val="28"/>
        <w:rFonts w:ascii="Times New Roman" w:hAnsi="Times New Roman"/>
      </w:rPr>
      <w:fldChar w:fldCharType="end"/>
    </w:r>
  </w:p>
  <w:p>
    <w:pPr>
      <w:pStyle w:val="Style3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2422" w:hanging="720"/>
      </w:pPr>
      <w:rPr>
        <w:sz w:val="28"/>
        <w:b w:val="false"/>
        <w:szCs w:val="28"/>
        <w:color w:val="auto"/>
      </w:rPr>
    </w:lvl>
    <w:lvl w:ilvl="1">
      <w:start w:val="1"/>
      <w:numFmt w:val="decimal"/>
      <w:lvlText w:val="%2)"/>
      <w:lvlJc w:val="left"/>
      <w:pPr>
        <w:tabs>
          <w:tab w:val="num" w:pos="0"/>
        </w:tabs>
        <w:ind w:left="2858" w:hanging="360"/>
      </w:pPr>
      <w:rPr/>
    </w:lvl>
    <w:lvl w:ilvl="2">
      <w:start w:val="1"/>
      <w:numFmt w:val="lowerRoman"/>
      <w:lvlText w:val="%3."/>
      <w:lvlJc w:val="right"/>
      <w:pPr>
        <w:tabs>
          <w:tab w:val="num" w:pos="0"/>
        </w:tabs>
        <w:ind w:left="3578" w:hanging="180"/>
      </w:pPr>
      <w:rPr/>
    </w:lvl>
    <w:lvl w:ilvl="3">
      <w:start w:val="1"/>
      <w:numFmt w:val="decimal"/>
      <w:lvlText w:val="%4."/>
      <w:lvlJc w:val="left"/>
      <w:pPr>
        <w:tabs>
          <w:tab w:val="num" w:pos="0"/>
        </w:tabs>
        <w:ind w:left="4298" w:hanging="360"/>
      </w:pPr>
      <w:rPr/>
    </w:lvl>
    <w:lvl w:ilvl="4">
      <w:start w:val="1"/>
      <w:numFmt w:val="lowerLetter"/>
      <w:lvlText w:val="%5."/>
      <w:lvlJc w:val="left"/>
      <w:pPr>
        <w:tabs>
          <w:tab w:val="num" w:pos="0"/>
        </w:tabs>
        <w:ind w:left="5018" w:hanging="360"/>
      </w:pPr>
      <w:rPr/>
    </w:lvl>
    <w:lvl w:ilvl="5">
      <w:start w:val="1"/>
      <w:numFmt w:val="lowerRoman"/>
      <w:lvlText w:val="%6."/>
      <w:lvlJc w:val="right"/>
      <w:pPr>
        <w:tabs>
          <w:tab w:val="num" w:pos="0"/>
        </w:tabs>
        <w:ind w:left="5738" w:hanging="180"/>
      </w:pPr>
      <w:rPr/>
    </w:lvl>
    <w:lvl w:ilvl="6">
      <w:start w:val="1"/>
      <w:numFmt w:val="decimal"/>
      <w:lvlText w:val="%7."/>
      <w:lvlJc w:val="left"/>
      <w:pPr>
        <w:tabs>
          <w:tab w:val="num" w:pos="0"/>
        </w:tabs>
        <w:ind w:left="6458" w:hanging="360"/>
      </w:pPr>
      <w:rPr/>
    </w:lvl>
    <w:lvl w:ilvl="7">
      <w:start w:val="1"/>
      <w:numFmt w:val="lowerLetter"/>
      <w:lvlText w:val="%8."/>
      <w:lvlJc w:val="left"/>
      <w:pPr>
        <w:tabs>
          <w:tab w:val="num" w:pos="0"/>
        </w:tabs>
        <w:ind w:left="7178" w:hanging="360"/>
      </w:pPr>
      <w:rPr/>
    </w:lvl>
    <w:lvl w:ilvl="8">
      <w:start w:val="1"/>
      <w:numFmt w:val="lowerRoman"/>
      <w:lvlText w:val="%9."/>
      <w:lvlJc w:val="right"/>
      <w:pPr>
        <w:tabs>
          <w:tab w:val="num" w:pos="0"/>
        </w:tabs>
        <w:ind w:left="7898" w:hanging="180"/>
      </w:pPr>
      <w:rPr/>
    </w:lvl>
  </w:abstractNum>
  <w:abstractNum w:abstractNumId="2">
    <w:lvl w:ilvl="0">
      <w:start w:val="1"/>
      <w:numFmt w:val="decimal"/>
      <w:lvlText w:val="%1)"/>
      <w:lvlJc w:val="left"/>
      <w:pPr>
        <w:tabs>
          <w:tab w:val="num" w:pos="0"/>
        </w:tabs>
        <w:ind w:left="1070" w:hanging="360"/>
      </w:pPr>
      <w:rPr>
        <w:sz w:val="28"/>
        <w:b w:val="false"/>
        <w:szCs w:val="28"/>
        <w:rFonts w:ascii="Times New Roman" w:hAnsi="Times New Roman" w:cs="Times New Roman"/>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3">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265" w:hanging="360"/>
      </w:pPr>
      <w:rPr/>
    </w:lvl>
    <w:lvl w:ilvl="2">
      <w:start w:val="1"/>
      <w:numFmt w:val="lowerRoman"/>
      <w:lvlText w:val="%3."/>
      <w:lvlJc w:val="right"/>
      <w:pPr>
        <w:tabs>
          <w:tab w:val="num" w:pos="0"/>
        </w:tabs>
        <w:ind w:left="2985" w:hanging="180"/>
      </w:pPr>
      <w:rPr/>
    </w:lvl>
    <w:lvl w:ilvl="3">
      <w:start w:val="1"/>
      <w:numFmt w:val="decimal"/>
      <w:lvlText w:val="%4."/>
      <w:lvlJc w:val="left"/>
      <w:pPr>
        <w:tabs>
          <w:tab w:val="num" w:pos="0"/>
        </w:tabs>
        <w:ind w:left="3705" w:hanging="360"/>
      </w:pPr>
      <w:rPr/>
    </w:lvl>
    <w:lvl w:ilvl="4">
      <w:start w:val="1"/>
      <w:numFmt w:val="lowerLetter"/>
      <w:lvlText w:val="%5."/>
      <w:lvlJc w:val="left"/>
      <w:pPr>
        <w:tabs>
          <w:tab w:val="num" w:pos="0"/>
        </w:tabs>
        <w:ind w:left="4425" w:hanging="360"/>
      </w:pPr>
      <w:rPr/>
    </w:lvl>
    <w:lvl w:ilvl="5">
      <w:start w:val="1"/>
      <w:numFmt w:val="lowerRoman"/>
      <w:lvlText w:val="%6."/>
      <w:lvlJc w:val="right"/>
      <w:pPr>
        <w:tabs>
          <w:tab w:val="num" w:pos="0"/>
        </w:tabs>
        <w:ind w:left="5145" w:hanging="180"/>
      </w:pPr>
      <w:rPr/>
    </w:lvl>
    <w:lvl w:ilvl="6">
      <w:start w:val="1"/>
      <w:numFmt w:val="decimal"/>
      <w:lvlText w:val="%7."/>
      <w:lvlJc w:val="left"/>
      <w:pPr>
        <w:tabs>
          <w:tab w:val="num" w:pos="0"/>
        </w:tabs>
        <w:ind w:left="5865" w:hanging="360"/>
      </w:pPr>
      <w:rPr/>
    </w:lvl>
    <w:lvl w:ilvl="7">
      <w:start w:val="1"/>
      <w:numFmt w:val="lowerLetter"/>
      <w:lvlText w:val="%8."/>
      <w:lvlJc w:val="left"/>
      <w:pPr>
        <w:tabs>
          <w:tab w:val="num" w:pos="0"/>
        </w:tabs>
        <w:ind w:left="6585" w:hanging="360"/>
      </w:pPr>
      <w:rPr/>
    </w:lvl>
    <w:lvl w:ilvl="8">
      <w:start w:val="1"/>
      <w:numFmt w:val="lowerRoman"/>
      <w:lvlText w:val="%9."/>
      <w:lvlJc w:val="right"/>
      <w:pPr>
        <w:tabs>
          <w:tab w:val="num" w:pos="0"/>
        </w:tabs>
        <w:ind w:left="7305" w:hanging="180"/>
      </w:pPr>
      <w:rPr/>
    </w:lvl>
  </w:abstractNum>
  <w:abstractNum w:abstractNumId="4">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
    <w:lvl w:ilvl="0">
      <w:start w:val="1"/>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70"/>
  <w:defaultTabStop w:val="709"/>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a3a5f"/>
    <w:pPr>
      <w:widowControl/>
      <w:bidi w:val="0"/>
      <w:spacing w:before="0" w:after="0"/>
      <w:ind w:firstLine="709"/>
      <w:jc w:val="both"/>
    </w:pPr>
    <w:rPr>
      <w:rFonts w:ascii="Calibri" w:hAnsi="Calibri" w:eastAsia="Calibri" w:cs="Times New Roman"/>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204bb5"/>
    <w:rPr/>
  </w:style>
  <w:style w:type="character" w:styleId="Style15" w:customStyle="1">
    <w:name w:val="Нижний колонтитул Знак"/>
    <w:basedOn w:val="DefaultParagraphFont"/>
    <w:uiPriority w:val="99"/>
    <w:semiHidden/>
    <w:qFormat/>
    <w:rsid w:val="00204bb5"/>
    <w:rPr/>
  </w:style>
  <w:style w:type="character" w:styleId="Style16" w:customStyle="1">
    <w:name w:val="Основной текст Знак"/>
    <w:qFormat/>
    <w:rsid w:val="00b85d9a"/>
    <w:rPr>
      <w:rFonts w:ascii="Calibri" w:hAnsi="Calibri" w:cs="Calibri"/>
      <w:shd w:fill="FFFFFF" w:val="clear"/>
    </w:rPr>
  </w:style>
  <w:style w:type="character" w:styleId="1" w:customStyle="1">
    <w:name w:val="Основной текст Знак1"/>
    <w:basedOn w:val="DefaultParagraphFont"/>
    <w:uiPriority w:val="99"/>
    <w:semiHidden/>
    <w:qFormat/>
    <w:rsid w:val="00b85d9a"/>
    <w:rPr/>
  </w:style>
  <w:style w:type="character" w:styleId="Appleconvertedspace" w:customStyle="1">
    <w:name w:val="apple-converted-space"/>
    <w:basedOn w:val="DefaultParagraphFont"/>
    <w:qFormat/>
    <w:rsid w:val="00fc77d0"/>
    <w:rPr/>
  </w:style>
  <w:style w:type="character" w:styleId="Style17" w:customStyle="1">
    <w:name w:val="Текст сноски Знак"/>
    <w:uiPriority w:val="99"/>
    <w:qFormat/>
    <w:rsid w:val="006f1682"/>
    <w:rPr>
      <w:rFonts w:ascii="Times New Roman" w:hAnsi="Times New Roman" w:eastAsia="Times New Roman" w:cs="Times New Roman"/>
      <w:sz w:val="20"/>
      <w:szCs w:val="20"/>
      <w:lang w:eastAsia="ru-RU"/>
    </w:rPr>
  </w:style>
  <w:style w:type="character" w:styleId="Style18">
    <w:name w:val="Привязка сноски"/>
    <w:rPr>
      <w:vertAlign w:val="superscript"/>
    </w:rPr>
  </w:style>
  <w:style w:type="character" w:styleId="FootnoteCharacters">
    <w:name w:val="Footnote Characters"/>
    <w:uiPriority w:val="99"/>
    <w:semiHidden/>
    <w:qFormat/>
    <w:rsid w:val="006f1682"/>
    <w:rPr>
      <w:vertAlign w:val="superscript"/>
    </w:rPr>
  </w:style>
  <w:style w:type="character" w:styleId="FontStyle12" w:customStyle="1">
    <w:name w:val="Font Style12"/>
    <w:qFormat/>
    <w:rsid w:val="006e0504"/>
    <w:rPr>
      <w:rFonts w:ascii="Times New Roman" w:hAnsi="Times New Roman" w:cs="Times New Roman"/>
      <w:sz w:val="24"/>
      <w:szCs w:val="24"/>
    </w:rPr>
  </w:style>
  <w:style w:type="character" w:styleId="Style19" w:customStyle="1">
    <w:name w:val="Основной текст_"/>
    <w:link w:val="12"/>
    <w:qFormat/>
    <w:rsid w:val="004d5c83"/>
    <w:rPr>
      <w:sz w:val="28"/>
      <w:szCs w:val="28"/>
      <w:shd w:fill="FFFFFF" w:val="clear"/>
    </w:rPr>
  </w:style>
  <w:style w:type="character" w:styleId="Style20" w:customStyle="1">
    <w:name w:val="Текст выноски Знак"/>
    <w:link w:val="BalloonText"/>
    <w:uiPriority w:val="99"/>
    <w:semiHidden/>
    <w:qFormat/>
    <w:rsid w:val="00c33beb"/>
    <w:rPr>
      <w:rFonts w:ascii="Tahoma" w:hAnsi="Tahoma" w:cs="Tahoma"/>
      <w:sz w:val="16"/>
      <w:szCs w:val="16"/>
    </w:rPr>
  </w:style>
  <w:style w:type="character" w:styleId="Annotationreference">
    <w:name w:val="annotation reference"/>
    <w:uiPriority w:val="99"/>
    <w:semiHidden/>
    <w:unhideWhenUsed/>
    <w:qFormat/>
    <w:rsid w:val="003372d5"/>
    <w:rPr>
      <w:sz w:val="16"/>
      <w:szCs w:val="16"/>
    </w:rPr>
  </w:style>
  <w:style w:type="character" w:styleId="Style21" w:customStyle="1">
    <w:name w:val="Текст примечания Знак"/>
    <w:link w:val="Annotationtext"/>
    <w:uiPriority w:val="99"/>
    <w:qFormat/>
    <w:rsid w:val="003372d5"/>
    <w:rPr>
      <w:sz w:val="20"/>
      <w:szCs w:val="20"/>
    </w:rPr>
  </w:style>
  <w:style w:type="character" w:styleId="Style22" w:customStyle="1">
    <w:name w:val="Тема примечания Знак"/>
    <w:link w:val="Annotationsubject"/>
    <w:uiPriority w:val="99"/>
    <w:semiHidden/>
    <w:qFormat/>
    <w:rsid w:val="003372d5"/>
    <w:rPr>
      <w:b/>
      <w:bCs/>
      <w:sz w:val="20"/>
      <w:szCs w:val="20"/>
    </w:rPr>
  </w:style>
  <w:style w:type="character" w:styleId="11" w:customStyle="1">
    <w:name w:val="Основной текст Знак11"/>
    <w:uiPriority w:val="99"/>
    <w:semiHidden/>
    <w:qFormat/>
    <w:rsid w:val="00ed2c6c"/>
    <w:rPr>
      <w:rFonts w:cs="Times New Roman"/>
    </w:rPr>
  </w:style>
  <w:style w:type="character" w:styleId="Style23">
    <w:name w:val="Интернет-ссылка"/>
    <w:basedOn w:val="DefaultParagraphFont"/>
    <w:uiPriority w:val="99"/>
    <w:unhideWhenUsed/>
    <w:rsid w:val="00481001"/>
    <w:rPr>
      <w:color w:val="0563C1" w:themeColor="hyperlink"/>
      <w:u w:val="single"/>
    </w:rPr>
  </w:style>
  <w:style w:type="paragraph" w:styleId="Style24">
    <w:name w:val="Заголовок"/>
    <w:basedOn w:val="Normal"/>
    <w:next w:val="Style25"/>
    <w:qFormat/>
    <w:pPr>
      <w:keepNext w:val="true"/>
      <w:spacing w:before="240" w:after="120"/>
    </w:pPr>
    <w:rPr>
      <w:rFonts w:ascii="Liberation Sans" w:hAnsi="Liberation Sans" w:eastAsia="Microsoft YaHei" w:cs="Mangal"/>
      <w:sz w:val="28"/>
      <w:szCs w:val="28"/>
    </w:rPr>
  </w:style>
  <w:style w:type="paragraph" w:styleId="Style25">
    <w:name w:val="Body Text"/>
    <w:basedOn w:val="Normal"/>
    <w:link w:val="Style16"/>
    <w:rsid w:val="00b85d9a"/>
    <w:pPr>
      <w:widowControl w:val="false"/>
      <w:shd w:val="clear" w:color="auto" w:fill="FFFFFF"/>
      <w:spacing w:lineRule="exact" w:line="298" w:before="0" w:after="780"/>
      <w:ind w:hanging="1600"/>
    </w:pPr>
    <w:rPr>
      <w:rFonts w:cs="Calibri"/>
    </w:rPr>
  </w:style>
  <w:style w:type="paragraph" w:styleId="Style26">
    <w:name w:val="List"/>
    <w:basedOn w:val="Style25"/>
    <w:pPr/>
    <w:rPr>
      <w:rFonts w:cs="Mangal"/>
    </w:rPr>
  </w:style>
  <w:style w:type="paragraph" w:styleId="Style27">
    <w:name w:val="Caption"/>
    <w:basedOn w:val="Normal"/>
    <w:qFormat/>
    <w:pPr>
      <w:suppressLineNumbers/>
      <w:spacing w:before="120" w:after="120"/>
    </w:pPr>
    <w:rPr>
      <w:rFonts w:cs="Mangal"/>
      <w:i/>
      <w:iCs/>
      <w:sz w:val="24"/>
      <w:szCs w:val="24"/>
    </w:rPr>
  </w:style>
  <w:style w:type="paragraph" w:styleId="Style28">
    <w:name w:val="Указатель"/>
    <w:basedOn w:val="Normal"/>
    <w:qFormat/>
    <w:pPr>
      <w:suppressLineNumbers/>
    </w:pPr>
    <w:rPr>
      <w:rFonts w:cs="Mangal"/>
      <w:lang w:val="zxx" w:eastAsia="zxx" w:bidi="zxx"/>
    </w:rPr>
  </w:style>
  <w:style w:type="paragraph" w:styleId="Style29">
    <w:name w:val="Колонтитул"/>
    <w:basedOn w:val="Normal"/>
    <w:qFormat/>
    <w:pPr/>
    <w:rPr/>
  </w:style>
  <w:style w:type="paragraph" w:styleId="Style30">
    <w:name w:val="Header"/>
    <w:basedOn w:val="Normal"/>
    <w:link w:val="Style14"/>
    <w:uiPriority w:val="99"/>
    <w:unhideWhenUsed/>
    <w:rsid w:val="00204bb5"/>
    <w:pPr>
      <w:tabs>
        <w:tab w:val="clear" w:pos="709"/>
        <w:tab w:val="center" w:pos="4677" w:leader="none"/>
        <w:tab w:val="right" w:pos="9355" w:leader="none"/>
      </w:tabs>
    </w:pPr>
    <w:rPr/>
  </w:style>
  <w:style w:type="paragraph" w:styleId="Style31">
    <w:name w:val="Footer"/>
    <w:basedOn w:val="Normal"/>
    <w:link w:val="Style15"/>
    <w:uiPriority w:val="99"/>
    <w:semiHidden/>
    <w:unhideWhenUsed/>
    <w:rsid w:val="00204bb5"/>
    <w:pPr>
      <w:tabs>
        <w:tab w:val="clear" w:pos="709"/>
        <w:tab w:val="center" w:pos="4677" w:leader="none"/>
        <w:tab w:val="right" w:pos="9355" w:leader="none"/>
      </w:tabs>
    </w:pPr>
    <w:rPr/>
  </w:style>
  <w:style w:type="paragraph" w:styleId="ConsPlusNonformat" w:customStyle="1">
    <w:name w:val="ConsPlusNonformat"/>
    <w:uiPriority w:val="99"/>
    <w:qFormat/>
    <w:rsid w:val="00aa4287"/>
    <w:pPr>
      <w:widowControl/>
      <w:bidi w:val="0"/>
      <w:spacing w:before="0" w:after="0"/>
      <w:ind w:firstLine="709"/>
      <w:jc w:val="both"/>
    </w:pPr>
    <w:rPr>
      <w:rFonts w:ascii="Courier New" w:hAnsi="Courier New" w:cs="Courier New" w:eastAsia="Calibri"/>
      <w:color w:val="auto"/>
      <w:kern w:val="0"/>
      <w:sz w:val="20"/>
      <w:szCs w:val="20"/>
      <w:lang w:eastAsia="en-US" w:val="ru-RU" w:bidi="ar-SA"/>
    </w:rPr>
  </w:style>
  <w:style w:type="paragraph" w:styleId="ListParagraph">
    <w:name w:val="List Paragraph"/>
    <w:basedOn w:val="Normal"/>
    <w:uiPriority w:val="34"/>
    <w:qFormat/>
    <w:rsid w:val="0007553a"/>
    <w:pPr>
      <w:spacing w:before="0" w:after="0"/>
      <w:ind w:left="720" w:firstLine="709"/>
      <w:contextualSpacing/>
    </w:pPr>
    <w:rPr/>
  </w:style>
  <w:style w:type="paragraph" w:styleId="Default" w:customStyle="1">
    <w:name w:val="Default"/>
    <w:qFormat/>
    <w:rsid w:val="00eb4a64"/>
    <w:pPr>
      <w:widowControl/>
      <w:bidi w:val="0"/>
      <w:spacing w:before="0" w:after="0"/>
      <w:ind w:firstLine="709"/>
      <w:jc w:val="both"/>
    </w:pPr>
    <w:rPr>
      <w:rFonts w:ascii="Times New Roman" w:hAnsi="Times New Roman" w:eastAsia="Calibri" w:cs="Times New Roman"/>
      <w:color w:val="000000"/>
      <w:kern w:val="0"/>
      <w:sz w:val="24"/>
      <w:szCs w:val="24"/>
      <w:lang w:val="ru-RU" w:eastAsia="ru-RU" w:bidi="ar-SA"/>
    </w:rPr>
  </w:style>
  <w:style w:type="paragraph" w:styleId="NormalWeb">
    <w:name w:val="Normal (Web)"/>
    <w:basedOn w:val="Normal"/>
    <w:uiPriority w:val="99"/>
    <w:unhideWhenUsed/>
    <w:qFormat/>
    <w:rsid w:val="00fc77d0"/>
    <w:pPr>
      <w:spacing w:before="240" w:after="240"/>
    </w:pPr>
    <w:rPr>
      <w:rFonts w:ascii="Times New Roman" w:hAnsi="Times New Roman" w:eastAsia="Times New Roman"/>
      <w:sz w:val="24"/>
      <w:szCs w:val="24"/>
      <w:lang w:eastAsia="ru-RU"/>
    </w:rPr>
  </w:style>
  <w:style w:type="paragraph" w:styleId="Style32">
    <w:name w:val="Footnote Text"/>
    <w:basedOn w:val="Normal"/>
    <w:link w:val="Style17"/>
    <w:uiPriority w:val="99"/>
    <w:rsid w:val="006f1682"/>
    <w:pPr/>
    <w:rPr>
      <w:rFonts w:ascii="Times New Roman" w:hAnsi="Times New Roman" w:eastAsia="Times New Roman"/>
      <w:sz w:val="20"/>
      <w:szCs w:val="20"/>
      <w:lang w:eastAsia="ru-RU"/>
    </w:rPr>
  </w:style>
  <w:style w:type="paragraph" w:styleId="12" w:customStyle="1">
    <w:name w:val="Основной текст1"/>
    <w:basedOn w:val="Normal"/>
    <w:link w:val="Style19"/>
    <w:qFormat/>
    <w:rsid w:val="004d5c83"/>
    <w:pPr>
      <w:shd w:val="clear" w:color="auto" w:fill="FFFFFF"/>
      <w:spacing w:lineRule="atLeast" w:line="0" w:before="0" w:after="420"/>
      <w:ind w:hanging="420"/>
      <w:jc w:val="center"/>
    </w:pPr>
    <w:rPr>
      <w:sz w:val="28"/>
      <w:szCs w:val="28"/>
    </w:rPr>
  </w:style>
  <w:style w:type="paragraph" w:styleId="BalloonText">
    <w:name w:val="Balloon Text"/>
    <w:basedOn w:val="Normal"/>
    <w:link w:val="Style20"/>
    <w:uiPriority w:val="99"/>
    <w:semiHidden/>
    <w:unhideWhenUsed/>
    <w:qFormat/>
    <w:rsid w:val="00c33beb"/>
    <w:pPr/>
    <w:rPr>
      <w:rFonts w:ascii="Tahoma" w:hAnsi="Tahoma" w:cs="Tahoma"/>
      <w:sz w:val="16"/>
      <w:szCs w:val="16"/>
    </w:rPr>
  </w:style>
  <w:style w:type="paragraph" w:styleId="Annotationtext">
    <w:name w:val="annotation text"/>
    <w:basedOn w:val="Normal"/>
    <w:link w:val="Style21"/>
    <w:uiPriority w:val="99"/>
    <w:unhideWhenUsed/>
    <w:qFormat/>
    <w:rsid w:val="003372d5"/>
    <w:pPr/>
    <w:rPr>
      <w:sz w:val="20"/>
      <w:szCs w:val="20"/>
    </w:rPr>
  </w:style>
  <w:style w:type="paragraph" w:styleId="Annotationsubject">
    <w:name w:val="annotation subject"/>
    <w:basedOn w:val="Annotationtext"/>
    <w:next w:val="Annotationtext"/>
    <w:link w:val="Style22"/>
    <w:uiPriority w:val="99"/>
    <w:semiHidden/>
    <w:unhideWhenUsed/>
    <w:qFormat/>
    <w:rsid w:val="003372d5"/>
    <w:pPr/>
    <w:rPr>
      <w:b/>
      <w:bCs/>
    </w:rPr>
  </w:style>
  <w:style w:type="paragraph" w:styleId="ConsPlusNormal" w:customStyle="1">
    <w:name w:val="ConsPlusNormal"/>
    <w:qFormat/>
    <w:rsid w:val="0085070c"/>
    <w:pPr>
      <w:widowControl/>
      <w:bidi w:val="0"/>
      <w:spacing w:before="0" w:after="0"/>
      <w:jc w:val="left"/>
    </w:pPr>
    <w:rPr>
      <w:rFonts w:ascii="Times New Roman" w:hAnsi="Times New Roman" w:eastAsia="Calibri" w:cs="Times New Roman"/>
      <w:color w:val="auto"/>
      <w:kern w:val="0"/>
      <w:sz w:val="28"/>
      <w:szCs w:val="28"/>
      <w:lang w:eastAsia="en-US" w:val="ru-RU" w:bidi="ar-SA"/>
    </w:rPr>
  </w:style>
  <w:style w:type="paragraph" w:styleId="Revision">
    <w:name w:val="Revision"/>
    <w:uiPriority w:val="99"/>
    <w:semiHidden/>
    <w:qFormat/>
    <w:rsid w:val="00247b5a"/>
    <w:pPr>
      <w:widowControl/>
      <w:bidi w:val="0"/>
      <w:spacing w:before="0" w:after="0"/>
      <w:jc w:val="left"/>
    </w:pPr>
    <w:rPr>
      <w:rFonts w:ascii="Calibri" w:hAnsi="Calibri" w:eastAsia="Calibri" w:cs="Times New Roman"/>
      <w:color w:val="auto"/>
      <w:kern w:val="0"/>
      <w:sz w:val="22"/>
      <w:szCs w:val="22"/>
      <w:lang w:eastAsia="en-US"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da14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7E0B1C8ADAC653FBEA55D1E9049ED91A63B5BC1BDB036D12C5B445229pEa3J" TargetMode="External"/><Relationship Id="rId3" Type="http://schemas.openxmlformats.org/officeDocument/2006/relationships/hyperlink" Target="consultantplus://offline/ref=C9E7374AA1332C6CF9FF0059DC9BC42D7E0C4094E90E8D4E87A0DE0B00JBsBL" TargetMode="External"/><Relationship Id="rId4" Type="http://schemas.openxmlformats.org/officeDocument/2006/relationships/hyperlink" Target="consultantplus://offline/ref=176F7DE9F43BBC5D4BD135AAE1CAD04D0FAF9650A130B33DA87DA13E97FAF95DCF18F97FDC1FE2FAH7g2M" TargetMode="External"/><Relationship Id="rId5" Type="http://schemas.openxmlformats.org/officeDocument/2006/relationships/hyperlink" Target="consultantplus://offline/ref=7F2EEDDD06F168B694690D2DE649735BC9E53CBFC16FEC31087E4E96CAJ2nFL" TargetMode="External"/><Relationship Id="rId6" Type="http://schemas.openxmlformats.org/officeDocument/2006/relationships/hyperlink" Target="consultantplus://offline/ref=3743F552A0D416E80BEAF690826125BB530BB097B6A5A5C17137C1E72FF3E91DCF3284BA9D2A6279g3rBM" TargetMode="External"/><Relationship Id="rId7" Type="http://schemas.openxmlformats.org/officeDocument/2006/relationships/hyperlink" Target="consultantplus://offline/ref=7F2EEDDD06F168B694690D2DE649735BC9E53CBFC16FEC31087E4E96CAJ2nFL" TargetMode="External"/><Relationship Id="rId8" Type="http://schemas.openxmlformats.org/officeDocument/2006/relationships/hyperlink" Target="consultantplus://offline/ref=33E7B6DD529722622844D6F9EBC8DBA03B3FAEDA9118A1613233FFF35FCD6ECFCAED66496D73EC2Di9vDO" TargetMode="External"/><Relationship Id="rId9" Type="http://schemas.openxmlformats.org/officeDocument/2006/relationships/hyperlink" Target="http://www.kremlin.ru/structure/additional/12" TargetMode="External"/><Relationship Id="rId10" Type="http://schemas.openxmlformats.org/officeDocument/2006/relationships/hyperlink" Target="https://gossluzhba.gov.ru/anticorruption/spravki_bk" TargetMode="External"/><Relationship Id="rId11" Type="http://schemas.openxmlformats.org/officeDocument/2006/relationships/hyperlink" Target="https://www.cbr.ru/currency_base/daily/" TargetMode="External"/><Relationship Id="rId12" Type="http://schemas.openxmlformats.org/officeDocument/2006/relationships/hyperlink" Target="https://www.gibdd.ru/r/77/contacts/div1145039/" TargetMode="External"/><Relationship Id="rId13" Type="http://schemas.openxmlformats.org/officeDocument/2006/relationships/hyperlink" Target="https://www.gibdd.ru/r/66/contacts/div1165058/" TargetMode="External"/><Relationship Id="rId14" Type="http://schemas.openxmlformats.org/officeDocument/2006/relationships/hyperlink" Target="https://www.gibdd.ru/r/66/contacts/div1165043/" TargetMode="External"/><Relationship Id="rId15" Type="http://schemas.openxmlformats.org/officeDocument/2006/relationships/hyperlink" Target="http://www.cbr.ru/finm_infrastructure/oper/" TargetMode="External"/><Relationship Id="rId16" Type="http://schemas.openxmlformats.org/officeDocument/2006/relationships/hyperlink" Target="https://www.cbr.ru/hd_base/metall/metall_base_new/" TargetMode="External"/><Relationship Id="rId17" Type="http://schemas.openxmlformats.org/officeDocument/2006/relationships/hyperlink" Target="https://www.cbr.ru/currency_base/" TargetMode="External"/><Relationship Id="rId18" Type="http://schemas.openxmlformats.org/officeDocument/2006/relationships/hyperlink" Target="https://www.nalog.ru/rn77/related_activities/accounting/bank_account/" TargetMode="External"/><Relationship Id="rId19" Type="http://schemas.openxmlformats.org/officeDocument/2006/relationships/hyperlink" Target="https://www.cbr.ru/banking_sector/likvidbase/" TargetMode="External"/><Relationship Id="rId20" Type="http://schemas.openxmlformats.org/officeDocument/2006/relationships/hyperlink" Target="https://www.cbr.ru/currency_base/daily/" TargetMode="External"/><Relationship Id="rId21" Type="http://schemas.openxmlformats.org/officeDocument/2006/relationships/hyperlink" Target="https://www.cbr.ru/currency_base/daily/" TargetMode="External"/><Relationship Id="rId22" Type="http://schemas.openxmlformats.org/officeDocument/2006/relationships/hyperlink" Target="https://www.cbr.ru/currency_base/daily/" TargetMode="External"/><Relationship Id="rId23" Type="http://schemas.openxmlformats.org/officeDocument/2006/relationships/header" Target="head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2EF95EC-2CA7-476F-98FE-7E96AF86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LibreOffice/7.3.0.3$Windows_x86 LibreOffice_project/0f246aa12d0eee4a0f7adcefbf7c878fc2238db3</Application>
  <AppVersion>15.0000</AppVersion>
  <Pages>56</Pages>
  <Words>23188</Words>
  <Characters>132175</Characters>
  <CharactersWithSpaces>155053</CharactersWithSpaces>
  <Paragraphs>310</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2021-12-10T11:46:00Z</dcterms:created>
  <dc:creator>KovalkovaEA</dc:creator>
  <dc:description/>
  <dc:language>ru-RU</dc:language>
  <cp:lastModifiedBy>123</cp:lastModifiedBy>
  <cp:lastPrinted>2021-10-25T14:57:00Z</cp:lastPrinted>
  <dcterms:modified xsi:type="dcterms:W3CDTF">2021-12-23T15:41:00Z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