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 xml:space="preserve">Основные новеллы в Методических рекомендациях по вопросам представления сведений о доходах, расходах, об имуществе и обязательствах имущественного характера и заполнения соответствующей формы справки </w:t>
        <w:br/>
        <w:t>в 2022 году (за отчетный 2021 год)</w:t>
      </w:r>
    </w:p>
    <w:p>
      <w:pPr>
        <w:pStyle w:val="Normal"/>
        <w:spacing w:lineRule="auto" w:line="240" w:before="0" w:after="0"/>
        <w:ind w:firstLine="709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В течение последних лет является устоявшейся практика подготовки Министерством труда и социальной защиты Российской Федерации ежегодно обновляемых Методических рекомендаций по вопросам представления сведений </w:t>
        <w:br/>
        <w:t xml:space="preserve">о доходах, расходах, об имуществе и обязательствах имущественного характера </w:t>
        <w:br/>
        <w:t>и заполнения соответствующей формы справки (далее – Методические рекомендации, сведения соответственно), направления их в заинтересованные государственные органы и организации, а также размещения на официальном сайте Минтруда России.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Методические рекомендации для применения в ходе декларационной кампании 2022 года (за отчетный 2021 год) подготовлены Министерством </w:t>
        <w:br/>
        <w:t xml:space="preserve">при участии Администрации Президента Российской Федерации, Центрального банка Российской Федерации, Генеральной прокуратуры Российской Федерации </w:t>
        <w:br/>
        <w:t>и иных заинтересованных федеральных государственных органов.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В ходе использования в работе указанных Методических рекомендаций предлагаем обратить внимание на следующее.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-1560" w:leader="none"/>
        </w:tabs>
        <w:spacing w:lineRule="auto" w:line="240" w:before="0" w:after="0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В Методических рекомендациях подчеркнуто, что отдельные особенности представления сведений могут быть установлены нормативными правовыми актами субъектов Российской Федерации с учетом предоставленных полномочий.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-1560" w:leader="none"/>
        </w:tabs>
        <w:spacing w:lineRule="auto" w:line="240" w:before="0" w:after="0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В пункте 13 Методических рекомендаций отмечено, что перевод </w:t>
        <w:br/>
        <w:t>на государственной гражданской службе Российской Федерации предполагает увольнение и, как следствие, необходимость представления сведений в качестве кандидата.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-1560" w:leader="none"/>
        </w:tabs>
        <w:spacing w:lineRule="auto" w:line="240" w:before="0" w:after="0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Ошибочное (неточное) указание сведений вследствие ошибок </w:t>
        <w:br/>
        <w:t xml:space="preserve">и неточностей, допущенных органом публичной власти или организацией </w:t>
        <w:br/>
        <w:t xml:space="preserve">в выданных официальных документах (выписках), на основании которых представляются сведения, не влечет применение взыскания. В этой связи </w:t>
        <w:br/>
        <w:t xml:space="preserve">в Методических рекомендациях отмечена целесообразность представления сведений на основании официальных документов, например, на основании полученной информации из единой формы, установленной Указанием Банка России от 27 мая 2021 г. № 5798-У "О порядке предоставления кредитными организациями </w:t>
        <w:br/>
        <w:t xml:space="preserve">и некредитными финансовыми организациями гражданам сведений о наличии счетов и иной информации, необходимой для представления гражданами сведений </w:t>
        <w:br/>
        <w:t xml:space="preserve">о доходах, расходах, об имуществе и обязательствах имущественного характера, </w:t>
        <w:br/>
        <w:t>о единой форме предоставления сведений и порядке ее заполнения".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-1560" w:leader="none"/>
        </w:tabs>
        <w:spacing w:lineRule="auto" w:line="240" w:before="0" w:after="0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Актуализирован перечень выплат, которые могут быть признаны доходом для целей законодательства Российской Федерации о противодействии коррупции.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-1560" w:leader="none"/>
        </w:tabs>
        <w:spacing w:lineRule="auto" w:line="240" w:before="0" w:after="0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Указан порядок отражения социальной поддержки молодежи в возрасте от 14 до 22 лет для повышения доступности организаций культуры </w:t>
        <w:br/>
        <w:t>(т.н. "Пушкинская карта").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-1560" w:leader="none"/>
        </w:tabs>
        <w:spacing w:lineRule="auto" w:line="240" w:before="0" w:after="0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В Методических рекомендациях учтены изменения, предусмотренные Указом Президента Российской Федерации от 10 декабря 2020 г. № 778 "О мерах по реализации отдельных положений Федерального закона "О цифровых финансовых активах, цифровой валюте и о внесении изменений в отдельные законодательные акты Российской Федерации".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-1560" w:leader="none"/>
        </w:tabs>
        <w:spacing w:lineRule="auto" w:line="240" w:before="0" w:after="0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Определены особенности представления информации в случае приобретение недвижимого имущества посредством участия в долевом строительстве с использованием счетов эскроу.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-1560" w:leader="none"/>
        </w:tabs>
        <w:spacing w:lineRule="auto" w:line="240" w:before="0" w:after="0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В пункте 154 Методических рекомендаций обо</w:t>
      </w:r>
      <w:bookmarkStart w:id="0" w:name="_GoBack"/>
      <w:bookmarkEnd w:id="0"/>
      <w:r>
        <w:rPr>
          <w:rFonts w:cs="Times New Roman" w:ascii="Times New Roman" w:hAnsi="Times New Roman"/>
          <w:sz w:val="28"/>
          <w:szCs w:val="28"/>
        </w:rPr>
        <w:t xml:space="preserve">значено, что уставный капитал зарубежных организаций необходимо устанавливать в соответствии </w:t>
        <w:br/>
        <w:t>с применимым правом (допускается использование данных из официальных источников в информационно-телекоммуникационной сети "Интернет").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-1560" w:leader="none"/>
        </w:tabs>
        <w:spacing w:lineRule="auto" w:line="240" w:before="0" w:after="0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Определенны особенности представления информации об акциях, приобретенных на организованных торгах.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-1560" w:leader="none"/>
        </w:tabs>
        <w:spacing w:lineRule="auto" w:line="240" w:before="0" w:after="0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Отмечено, что при наличии обстоятельств фьючерсный договор подлежит отражению.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-1560" w:leader="none"/>
        </w:tabs>
        <w:spacing w:lineRule="auto" w:line="240" w:before="0" w:after="0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Актуализированы особенности представления информации о срочных обязательствах финансового характера, возникающих исходя из условий договора со страховщиком.</w:t>
      </w:r>
    </w:p>
    <w:p>
      <w:pPr>
        <w:pStyle w:val="ListParagraph"/>
        <w:numPr>
          <w:ilvl w:val="0"/>
          <w:numId w:val="1"/>
        </w:numPr>
        <w:spacing w:lineRule="auto" w:line="240" w:before="0" w:after="0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Положения Методических рекомендаций в целом актуализированы </w:t>
        <w:br/>
        <w:t>с учетом изменений нормативных правовых актов Российской Федерации.</w:t>
      </w:r>
    </w:p>
    <w:sectPr>
      <w:headerReference w:type="default" r:id="rId2"/>
      <w:type w:val="nextPage"/>
      <w:pgSz w:w="11906" w:h="16838"/>
      <w:pgMar w:left="1134" w:right="567" w:gutter="0" w:header="454" w:top="1134" w:footer="0" w:bottom="1134"/>
      <w:pgNumType w:fmt="decimal"/>
      <w:formProt w:val="false"/>
      <w:titlePg/>
      <w:textDirection w:val="lrTb"/>
      <w:docGrid w:type="default" w:linePitch="299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Times New Roman">
    <w:charset w:val="cc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Top of Page)"/>
        <w:docPartUnique w:val="true"/>
      </w:docPartObj>
      <w:id w:val="767237748"/>
    </w:sdtPr>
    <w:sdtContent>
      <w:p>
        <w:pPr>
          <w:pStyle w:val="Style23"/>
          <w:jc w:val="center"/>
          <w:rPr>
            <w:rFonts w:ascii="Times New Roman" w:hAnsi="Times New Roman" w:cs="Times New Roman"/>
            <w:sz w:val="28"/>
          </w:rPr>
        </w:pPr>
        <w:r>
          <w:rPr>
            <w:rFonts w:cs="Times New Roman" w:ascii="Times New Roman" w:hAnsi="Times New Roman"/>
            <w:sz w:val="28"/>
          </w:rPr>
          <w:fldChar w:fldCharType="begin"/>
        </w:r>
        <w:r>
          <w:rPr>
            <w:sz w:val="28"/>
            <w:rFonts w:cs="Times New Roman" w:ascii="Times New Roman" w:hAnsi="Times New Roman"/>
          </w:rPr>
          <w:instrText xml:space="preserve"> PAGE </w:instrText>
        </w:r>
        <w:r>
          <w:rPr>
            <w:sz w:val="28"/>
            <w:rFonts w:cs="Times New Roman" w:ascii="Times New Roman" w:hAnsi="Times New Roman"/>
          </w:rPr>
          <w:fldChar w:fldCharType="separate"/>
        </w:r>
        <w:r>
          <w:rPr>
            <w:sz w:val="28"/>
            <w:rFonts w:cs="Times New Roman" w:ascii="Times New Roman" w:hAnsi="Times New Roman"/>
          </w:rPr>
          <w:t>2</w:t>
        </w:r>
        <w:r>
          <w:rPr>
            <w:sz w:val="28"/>
            <w:rFonts w:cs="Times New Roman" w:ascii="Times New Roman" w:hAnsi="Times New Roman"/>
          </w:rPr>
          <w:fldChar w:fldCharType="end"/>
        </w:r>
      </w:p>
    </w:sdtContent>
  </w:sdt>
  <w:p>
    <w:pPr>
      <w:pStyle w:val="Style23"/>
      <w:rPr>
        <w:rFonts w:ascii="Times New Roman" w:hAnsi="Times New Roman" w:cs="Times New Roman"/>
        <w:sz w:val="28"/>
      </w:rPr>
    </w:pPr>
    <w:r>
      <w:rPr>
        <w:rFonts w:cs="Times New Roman" w:ascii="Times New Roman" w:hAnsi="Times New Roman"/>
        <w:sz w:val="28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1429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2149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869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589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309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029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749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469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189" w:hanging="180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12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e06af6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Верхний колонтитул Знак"/>
    <w:basedOn w:val="DefaultParagraphFont"/>
    <w:uiPriority w:val="99"/>
    <w:qFormat/>
    <w:rsid w:val="005020ce"/>
    <w:rPr/>
  </w:style>
  <w:style w:type="character" w:styleId="Style15" w:customStyle="1">
    <w:name w:val="Нижний колонтитул Знак"/>
    <w:basedOn w:val="DefaultParagraphFont"/>
    <w:uiPriority w:val="99"/>
    <w:qFormat/>
    <w:rsid w:val="005020ce"/>
    <w:rPr/>
  </w:style>
  <w:style w:type="character" w:styleId="Style16" w:customStyle="1">
    <w:name w:val="Текст выноски Знак"/>
    <w:basedOn w:val="DefaultParagraphFont"/>
    <w:link w:val="BalloonText"/>
    <w:uiPriority w:val="99"/>
    <w:semiHidden/>
    <w:qFormat/>
    <w:rsid w:val="005020ce"/>
    <w:rPr>
      <w:rFonts w:ascii="Tahoma" w:hAnsi="Tahoma" w:cs="Tahoma"/>
      <w:sz w:val="16"/>
      <w:szCs w:val="16"/>
    </w:rPr>
  </w:style>
  <w:style w:type="paragraph" w:styleId="Style17">
    <w:name w:val="Заголовок"/>
    <w:basedOn w:val="Normal"/>
    <w:next w:val="Style18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8">
    <w:name w:val="Body Text"/>
    <w:basedOn w:val="Normal"/>
    <w:pPr>
      <w:spacing w:lineRule="auto" w:line="276" w:before="0" w:after="140"/>
    </w:pPr>
    <w:rPr/>
  </w:style>
  <w:style w:type="paragraph" w:styleId="Style19">
    <w:name w:val="List"/>
    <w:basedOn w:val="Style18"/>
    <w:pPr/>
    <w:rPr>
      <w:rFonts w:cs="Mangal"/>
    </w:rPr>
  </w:style>
  <w:style w:type="paragraph" w:styleId="Style20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1">
    <w:name w:val="Указатель"/>
    <w:basedOn w:val="Normal"/>
    <w:qFormat/>
    <w:pPr>
      <w:suppressLineNumbers/>
    </w:pPr>
    <w:rPr>
      <w:rFonts w:cs="Mangal"/>
      <w:lang w:val="zxx" w:eastAsia="zxx" w:bidi="zxx"/>
    </w:rPr>
  </w:style>
  <w:style w:type="paragraph" w:styleId="ListParagraph">
    <w:name w:val="List Paragraph"/>
    <w:basedOn w:val="Normal"/>
    <w:uiPriority w:val="34"/>
    <w:qFormat/>
    <w:rsid w:val="00e06af6"/>
    <w:pPr>
      <w:spacing w:lineRule="auto" w:line="259" w:before="0" w:after="160"/>
      <w:ind w:left="720" w:hanging="0"/>
      <w:contextualSpacing/>
    </w:pPr>
    <w:rPr/>
  </w:style>
  <w:style w:type="paragraph" w:styleId="Style22">
    <w:name w:val="Колонтитул"/>
    <w:basedOn w:val="Normal"/>
    <w:qFormat/>
    <w:pPr/>
    <w:rPr/>
  </w:style>
  <w:style w:type="paragraph" w:styleId="Style23">
    <w:name w:val="Header"/>
    <w:basedOn w:val="Normal"/>
    <w:link w:val="Style14"/>
    <w:uiPriority w:val="99"/>
    <w:unhideWhenUsed/>
    <w:rsid w:val="005020ce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</w:pPr>
    <w:rPr/>
  </w:style>
  <w:style w:type="paragraph" w:styleId="Style24">
    <w:name w:val="Footer"/>
    <w:basedOn w:val="Normal"/>
    <w:link w:val="Style15"/>
    <w:uiPriority w:val="99"/>
    <w:unhideWhenUsed/>
    <w:rsid w:val="005020ce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Style16"/>
    <w:uiPriority w:val="99"/>
    <w:semiHidden/>
    <w:unhideWhenUsed/>
    <w:qFormat/>
    <w:rsid w:val="005020ce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Application>LibreOffice/7.3.0.3$Windows_x86 LibreOffice_project/0f246aa12d0eee4a0f7adcefbf7c878fc2238db3</Application>
  <AppVersion>15.0000</AppVersion>
  <Pages>2</Pages>
  <Words>598</Words>
  <Characters>3415</Characters>
  <CharactersWithSpaces>4005</CharactersWithSpaces>
  <Paragraphs>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2021-12-23T15:07:00Z</dcterms:created>
  <dc:creator>123</dc:creator>
  <dc:description/>
  <dc:language>ru-RU</dc:language>
  <cp:lastModifiedBy>123</cp:lastModifiedBy>
  <cp:lastPrinted>2021-12-23T15:14:00Z</cp:lastPrinted>
  <dcterms:modified xsi:type="dcterms:W3CDTF">2021-12-24T15:59:00Z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